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D405B" w14:textId="43E65F55" w:rsidR="00E768A2" w:rsidRPr="00A03FE1" w:rsidRDefault="00E768A2" w:rsidP="00E768A2">
      <w:pPr>
        <w:jc w:val="center"/>
        <w:rPr>
          <w:rFonts w:asciiTheme="minorHAnsi" w:hAnsiTheme="minorHAnsi" w:cstheme="minorHAnsi"/>
          <w:b/>
          <w:bCs/>
          <w:sz w:val="28"/>
          <w:szCs w:val="28"/>
        </w:rPr>
      </w:pPr>
      <w:r w:rsidRPr="00A03FE1">
        <w:rPr>
          <w:rFonts w:asciiTheme="minorHAnsi" w:hAnsiTheme="minorHAnsi" w:cstheme="minorHAnsi"/>
          <w:b/>
          <w:bCs/>
          <w:sz w:val="28"/>
          <w:szCs w:val="28"/>
        </w:rPr>
        <w:t xml:space="preserve">NY-603 </w:t>
      </w:r>
      <w:r w:rsidR="00880D05">
        <w:rPr>
          <w:rFonts w:asciiTheme="minorHAnsi" w:hAnsiTheme="minorHAnsi" w:cstheme="minorHAnsi"/>
          <w:b/>
          <w:bCs/>
          <w:sz w:val="28"/>
          <w:szCs w:val="28"/>
        </w:rPr>
        <w:t>Nassau-Suffolk</w:t>
      </w:r>
      <w:r w:rsidRPr="00A03FE1">
        <w:rPr>
          <w:rFonts w:asciiTheme="minorHAnsi" w:hAnsiTheme="minorHAnsi" w:cstheme="minorHAnsi"/>
          <w:b/>
          <w:bCs/>
          <w:sz w:val="28"/>
          <w:szCs w:val="28"/>
        </w:rPr>
        <w:t xml:space="preserve"> CoC</w:t>
      </w:r>
      <w:r w:rsidRPr="00A03FE1">
        <w:rPr>
          <w:rFonts w:asciiTheme="minorHAnsi" w:hAnsiTheme="minorHAnsi" w:cstheme="minorHAnsi"/>
          <w:b/>
          <w:bCs/>
          <w:sz w:val="28"/>
          <w:szCs w:val="28"/>
        </w:rPr>
        <w:br/>
        <w:t xml:space="preserve">Non-discrimination and Equal Opportunity Policy </w:t>
      </w:r>
    </w:p>
    <w:p w14:paraId="17DA9B2F" w14:textId="77777777" w:rsidR="00E768A2" w:rsidRPr="00A03FE1" w:rsidRDefault="00E768A2" w:rsidP="00E768A2">
      <w:pPr>
        <w:jc w:val="center"/>
        <w:rPr>
          <w:rFonts w:asciiTheme="minorHAnsi" w:hAnsiTheme="minorHAnsi" w:cstheme="minorHAnsi"/>
          <w:b/>
          <w:bCs/>
        </w:rPr>
      </w:pPr>
    </w:p>
    <w:p w14:paraId="38800F6D" w14:textId="4CAE02C1" w:rsidR="00E768A2" w:rsidRPr="00A03FE1" w:rsidRDefault="002B682F" w:rsidP="00E768A2">
      <w:pPr>
        <w:rPr>
          <w:rFonts w:asciiTheme="minorHAnsi" w:hAnsiTheme="minorHAnsi" w:cstheme="minorHAnsi"/>
        </w:rPr>
      </w:pPr>
      <w:r w:rsidRPr="00A03FE1">
        <w:rPr>
          <w:rFonts w:asciiTheme="minorHAnsi" w:hAnsiTheme="minorHAnsi" w:cstheme="minorHAnsi"/>
        </w:rPr>
        <w:t xml:space="preserve">The </w:t>
      </w:r>
      <w:r w:rsidR="00406475">
        <w:rPr>
          <w:rFonts w:asciiTheme="minorHAnsi" w:hAnsiTheme="minorHAnsi" w:cstheme="minorHAnsi"/>
        </w:rPr>
        <w:t>Nassau-Suffolk</w:t>
      </w:r>
      <w:r w:rsidRPr="00A03FE1">
        <w:rPr>
          <w:rFonts w:asciiTheme="minorHAnsi" w:hAnsiTheme="minorHAnsi" w:cstheme="minorHAnsi"/>
        </w:rPr>
        <w:t xml:space="preserve"> CoC is committed to providing housing and services in an environment in which all individuals are</w:t>
      </w:r>
      <w:r w:rsidR="007F1CEA" w:rsidRPr="00A03FE1">
        <w:rPr>
          <w:rFonts w:asciiTheme="minorHAnsi" w:hAnsiTheme="minorHAnsi" w:cstheme="minorHAnsi"/>
        </w:rPr>
        <w:t xml:space="preserve"> treated with respect and dignity, can </w:t>
      </w:r>
      <w:r w:rsidR="00207863" w:rsidRPr="00A03FE1">
        <w:rPr>
          <w:rFonts w:asciiTheme="minorHAnsi" w:hAnsiTheme="minorHAnsi" w:cstheme="minorHAnsi"/>
        </w:rPr>
        <w:t>participate</w:t>
      </w:r>
      <w:r w:rsidR="007F1CEA" w:rsidRPr="00A03FE1">
        <w:rPr>
          <w:rFonts w:asciiTheme="minorHAnsi" w:hAnsiTheme="minorHAnsi" w:cstheme="minorHAnsi"/>
        </w:rPr>
        <w:t xml:space="preserve"> fully</w:t>
      </w:r>
      <w:r w:rsidRPr="00A03FE1">
        <w:rPr>
          <w:rFonts w:asciiTheme="minorHAnsi" w:hAnsiTheme="minorHAnsi" w:cstheme="minorHAnsi"/>
        </w:rPr>
        <w:t xml:space="preserve"> in programs free of discrimination</w:t>
      </w:r>
      <w:r w:rsidR="00207863" w:rsidRPr="00A03FE1">
        <w:rPr>
          <w:rFonts w:asciiTheme="minorHAnsi" w:hAnsiTheme="minorHAnsi" w:cstheme="minorHAnsi"/>
        </w:rPr>
        <w:t>,</w:t>
      </w:r>
      <w:r w:rsidR="007F1CEA" w:rsidRPr="00A03FE1">
        <w:rPr>
          <w:rFonts w:asciiTheme="minorHAnsi" w:hAnsiTheme="minorHAnsi" w:cstheme="minorHAnsi"/>
        </w:rPr>
        <w:t xml:space="preserve"> and have equal opportunities.</w:t>
      </w:r>
      <w:r w:rsidR="005274EC" w:rsidRPr="00A03FE1">
        <w:rPr>
          <w:rFonts w:asciiTheme="minorHAnsi" w:hAnsiTheme="minorHAnsi" w:cstheme="minorHAnsi"/>
        </w:rPr>
        <w:t xml:space="preserve"> </w:t>
      </w:r>
      <w:r w:rsidRPr="00A03FE1">
        <w:rPr>
          <w:rFonts w:asciiTheme="minorHAnsi" w:hAnsiTheme="minorHAnsi" w:cstheme="minorHAnsi"/>
        </w:rPr>
        <w:t xml:space="preserve">The CoC’s Non-Discrimination Policies and Procedures ensure all people experiencing homelessness in the CoC have equal access to housing and services necessary to end homelessness. </w:t>
      </w:r>
      <w:r w:rsidR="005274EC" w:rsidRPr="00A03FE1">
        <w:rPr>
          <w:rFonts w:asciiTheme="minorHAnsi" w:hAnsiTheme="minorHAnsi" w:cstheme="minorHAnsi"/>
        </w:rPr>
        <w:t>Organizations</w:t>
      </w:r>
      <w:r w:rsidRPr="00A03FE1">
        <w:rPr>
          <w:rFonts w:asciiTheme="minorHAnsi" w:hAnsiTheme="minorHAnsi" w:cstheme="minorHAnsi"/>
        </w:rPr>
        <w:t xml:space="preserve"> within the CoC</w:t>
      </w:r>
      <w:r w:rsidR="005274EC" w:rsidRPr="00A03FE1">
        <w:rPr>
          <w:rFonts w:asciiTheme="minorHAnsi" w:hAnsiTheme="minorHAnsi" w:cstheme="minorHAnsi"/>
        </w:rPr>
        <w:t xml:space="preserve"> who make </w:t>
      </w:r>
      <w:r w:rsidR="0027599F" w:rsidRPr="00A03FE1">
        <w:rPr>
          <w:rFonts w:asciiTheme="minorHAnsi" w:hAnsiTheme="minorHAnsi" w:cstheme="minorHAnsi"/>
        </w:rPr>
        <w:t>a</w:t>
      </w:r>
      <w:r w:rsidR="005274EC" w:rsidRPr="00A03FE1">
        <w:rPr>
          <w:rFonts w:asciiTheme="minorHAnsi" w:hAnsiTheme="minorHAnsi" w:cstheme="minorHAnsi"/>
        </w:rPr>
        <w:t xml:space="preserve"> </w:t>
      </w:r>
      <w:r w:rsidR="0027599F" w:rsidRPr="00A03FE1">
        <w:rPr>
          <w:rFonts w:asciiTheme="minorHAnsi" w:hAnsiTheme="minorHAnsi" w:cstheme="minorHAnsi"/>
        </w:rPr>
        <w:t xml:space="preserve">commitment to the CoC’s non-discrimination policy </w:t>
      </w:r>
      <w:r w:rsidR="005274EC" w:rsidRPr="00A03FE1">
        <w:rPr>
          <w:rFonts w:asciiTheme="minorHAnsi" w:hAnsiTheme="minorHAnsi" w:cstheme="minorHAnsi"/>
        </w:rPr>
        <w:t xml:space="preserve">operate in compliance with </w:t>
      </w:r>
      <w:r w:rsidR="00E768A2" w:rsidRPr="00A03FE1">
        <w:rPr>
          <w:rFonts w:asciiTheme="minorHAnsi" w:hAnsiTheme="minorHAnsi" w:cstheme="minorHAnsi"/>
        </w:rPr>
        <w:t xml:space="preserve">federal, state, and local non-discrimination and equal opportunity laws. </w:t>
      </w:r>
    </w:p>
    <w:p w14:paraId="48AC4AFD" w14:textId="14C5B88F" w:rsidR="0027599F" w:rsidRPr="00A03FE1" w:rsidRDefault="0027599F" w:rsidP="00E768A2">
      <w:pPr>
        <w:rPr>
          <w:rFonts w:asciiTheme="minorHAnsi" w:hAnsiTheme="minorHAnsi" w:cstheme="minorHAnsi"/>
        </w:rPr>
      </w:pPr>
    </w:p>
    <w:p w14:paraId="004607F7" w14:textId="78FB2D21" w:rsidR="0027599F" w:rsidRPr="00A03FE1" w:rsidRDefault="0027599F" w:rsidP="00E768A2">
      <w:pPr>
        <w:rPr>
          <w:rFonts w:asciiTheme="minorHAnsi" w:hAnsiTheme="minorHAnsi" w:cstheme="minorHAnsi"/>
        </w:rPr>
      </w:pPr>
      <w:r w:rsidRPr="00A03FE1">
        <w:rPr>
          <w:rFonts w:asciiTheme="minorHAnsi" w:hAnsiTheme="minorHAnsi" w:cstheme="minorHAnsi"/>
        </w:rPr>
        <w:t>The Long Island CoC Non-Discrimination and Equal Opportunity Policy apply to staff, volunteers, and contractors at all partner agencies, including agencies that receive CoC and ESG funding.</w:t>
      </w:r>
      <w:r w:rsidR="00AF2BC8" w:rsidRPr="00A03FE1">
        <w:rPr>
          <w:rFonts w:asciiTheme="minorHAnsi" w:hAnsiTheme="minorHAnsi" w:cstheme="minorHAnsi"/>
        </w:rPr>
        <w:t xml:space="preserve"> All providers in the CoC are committed to complying with all non-discrimination and equal opportunity policies. </w:t>
      </w:r>
    </w:p>
    <w:p w14:paraId="55A754A1" w14:textId="77777777" w:rsidR="008F6ADF" w:rsidRPr="00A03FE1" w:rsidRDefault="008F6ADF" w:rsidP="00E768A2">
      <w:pPr>
        <w:rPr>
          <w:rFonts w:asciiTheme="minorHAnsi" w:hAnsiTheme="minorHAnsi" w:cstheme="minorHAnsi"/>
        </w:rPr>
      </w:pPr>
    </w:p>
    <w:p w14:paraId="5C17647F" w14:textId="61E036FA" w:rsidR="005274EC" w:rsidRPr="00A03FE1" w:rsidRDefault="001A413A" w:rsidP="004E4B8B">
      <w:pPr>
        <w:jc w:val="center"/>
        <w:rPr>
          <w:rFonts w:asciiTheme="minorHAnsi" w:hAnsiTheme="minorHAnsi" w:cstheme="minorHAnsi"/>
          <w:b/>
          <w:bCs/>
          <w:sz w:val="28"/>
          <w:szCs w:val="28"/>
        </w:rPr>
      </w:pPr>
      <w:r w:rsidRPr="00A03FE1">
        <w:rPr>
          <w:rFonts w:asciiTheme="minorHAnsi" w:hAnsiTheme="minorHAnsi" w:cstheme="minorHAnsi"/>
          <w:b/>
          <w:bCs/>
          <w:sz w:val="28"/>
          <w:szCs w:val="28"/>
        </w:rPr>
        <w:t xml:space="preserve">The </w:t>
      </w:r>
      <w:r w:rsidR="004E4B8B" w:rsidRPr="00A03FE1">
        <w:rPr>
          <w:rFonts w:asciiTheme="minorHAnsi" w:hAnsiTheme="minorHAnsi" w:cstheme="minorHAnsi"/>
          <w:b/>
          <w:bCs/>
          <w:sz w:val="28"/>
          <w:szCs w:val="28"/>
        </w:rPr>
        <w:t>objectives</w:t>
      </w:r>
      <w:r w:rsidRPr="00A03FE1">
        <w:rPr>
          <w:rFonts w:asciiTheme="minorHAnsi" w:hAnsiTheme="minorHAnsi" w:cstheme="minorHAnsi"/>
          <w:b/>
          <w:bCs/>
          <w:sz w:val="28"/>
          <w:szCs w:val="28"/>
        </w:rPr>
        <w:t xml:space="preserve"> of this Policy</w:t>
      </w:r>
      <w:r w:rsidR="004E4B8B" w:rsidRPr="00A03FE1">
        <w:rPr>
          <w:rFonts w:asciiTheme="minorHAnsi" w:hAnsiTheme="minorHAnsi" w:cstheme="minorHAnsi"/>
          <w:b/>
          <w:bCs/>
          <w:sz w:val="28"/>
          <w:szCs w:val="28"/>
        </w:rPr>
        <w:t xml:space="preserve"> are to:</w:t>
      </w:r>
    </w:p>
    <w:p w14:paraId="71A9F912" w14:textId="77777777" w:rsidR="004E4B8B" w:rsidRPr="008A5220" w:rsidRDefault="004E4B8B" w:rsidP="00E768A2">
      <w:pPr>
        <w:rPr>
          <w:rFonts w:asciiTheme="minorHAnsi" w:hAnsiTheme="minorHAnsi" w:cstheme="minorHAnsi"/>
        </w:rPr>
      </w:pPr>
    </w:p>
    <w:p w14:paraId="441ECB5F" w14:textId="77777777" w:rsidR="00A65A7D" w:rsidRPr="00A65A7D" w:rsidRDefault="00D1020A" w:rsidP="00A65A7D">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Ensure the rights of all m</w:t>
      </w:r>
      <w:r w:rsidR="00126944">
        <w:rPr>
          <w:rFonts w:asciiTheme="minorHAnsi" w:hAnsiTheme="minorHAnsi" w:cstheme="minorHAnsi"/>
          <w:sz w:val="22"/>
          <w:szCs w:val="22"/>
        </w:rPr>
        <w:t>inoritized</w:t>
      </w:r>
      <w:r>
        <w:rPr>
          <w:rFonts w:asciiTheme="minorHAnsi" w:hAnsiTheme="minorHAnsi" w:cstheme="minorHAnsi"/>
          <w:sz w:val="22"/>
          <w:szCs w:val="22"/>
        </w:rPr>
        <w:t xml:space="preserve"> and protected groups</w:t>
      </w:r>
      <w:r w:rsidR="0020536F">
        <w:rPr>
          <w:rFonts w:asciiTheme="minorHAnsi" w:hAnsiTheme="minorHAnsi" w:cstheme="minorHAnsi"/>
          <w:sz w:val="22"/>
          <w:szCs w:val="22"/>
        </w:rPr>
        <w:t xml:space="preserve">. </w:t>
      </w:r>
      <w:r w:rsidR="00A65A7D" w:rsidRPr="008A5220">
        <w:rPr>
          <w:rFonts w:asciiTheme="minorHAnsi" w:hAnsiTheme="minorHAnsi" w:cstheme="minorHAnsi"/>
          <w:sz w:val="22"/>
          <w:szCs w:val="22"/>
        </w:rPr>
        <w:t>Ensure safety, dignity, and well-being of all individuals and families served by the CoC</w:t>
      </w:r>
    </w:p>
    <w:p w14:paraId="2E51A927" w14:textId="52DAD2F7" w:rsidR="00A65A7D" w:rsidRPr="00BA7329" w:rsidRDefault="00B23E85" w:rsidP="001A413A">
      <w:pPr>
        <w:pStyle w:val="ListParagraph"/>
        <w:numPr>
          <w:ilvl w:val="0"/>
          <w:numId w:val="7"/>
        </w:numPr>
        <w:rPr>
          <w:rFonts w:asciiTheme="minorHAnsi" w:hAnsiTheme="minorHAnsi" w:cstheme="minorHAnsi"/>
          <w:sz w:val="22"/>
          <w:szCs w:val="22"/>
        </w:rPr>
      </w:pPr>
      <w:r w:rsidRPr="008A5220">
        <w:rPr>
          <w:rFonts w:asciiTheme="minorHAnsi" w:hAnsiTheme="minorHAnsi" w:cstheme="minorHAnsi"/>
          <w:sz w:val="22"/>
          <w:szCs w:val="22"/>
        </w:rPr>
        <w:t>Ensure that organizations affiliated with the CoC a</w:t>
      </w:r>
      <w:r w:rsidR="004F049C" w:rsidRPr="008A5220">
        <w:rPr>
          <w:rFonts w:asciiTheme="minorHAnsi" w:hAnsiTheme="minorHAnsi" w:cstheme="minorHAnsi"/>
          <w:sz w:val="22"/>
          <w:szCs w:val="22"/>
        </w:rPr>
        <w:t xml:space="preserve">gree to uphold federal, state, local and CoC policies regarding non-discrimination </w:t>
      </w:r>
      <w:r w:rsidR="008E708C" w:rsidRPr="008A5220">
        <w:rPr>
          <w:rFonts w:asciiTheme="minorHAnsi" w:hAnsiTheme="minorHAnsi" w:cstheme="minorHAnsi"/>
          <w:sz w:val="22"/>
          <w:szCs w:val="22"/>
        </w:rPr>
        <w:t>and equal opportunit</w:t>
      </w:r>
      <w:r w:rsidR="00BA7329" w:rsidRPr="008A5220">
        <w:rPr>
          <w:rFonts w:asciiTheme="minorHAnsi" w:hAnsiTheme="minorHAnsi" w:cstheme="minorHAnsi"/>
          <w:sz w:val="22"/>
          <w:szCs w:val="22"/>
        </w:rPr>
        <w:t>y.</w:t>
      </w:r>
    </w:p>
    <w:p w14:paraId="23DC88AA" w14:textId="77777777" w:rsidR="00E768A2" w:rsidRPr="00A03FE1" w:rsidRDefault="00E768A2" w:rsidP="00E768A2">
      <w:pPr>
        <w:jc w:val="center"/>
        <w:rPr>
          <w:rFonts w:asciiTheme="minorHAnsi" w:hAnsiTheme="minorHAnsi" w:cstheme="minorHAnsi"/>
          <w:b/>
          <w:bCs/>
        </w:rPr>
      </w:pPr>
    </w:p>
    <w:p w14:paraId="5E73A0D9" w14:textId="002094F4" w:rsidR="00E768A2" w:rsidRPr="006D2C82" w:rsidRDefault="00E768A2" w:rsidP="00E768A2">
      <w:pPr>
        <w:jc w:val="center"/>
        <w:rPr>
          <w:rFonts w:asciiTheme="minorHAnsi" w:hAnsiTheme="minorHAnsi" w:cstheme="minorHAnsi"/>
          <w:b/>
          <w:bCs/>
          <w:sz w:val="28"/>
          <w:szCs w:val="28"/>
        </w:rPr>
      </w:pPr>
      <w:r w:rsidRPr="006D2C82">
        <w:rPr>
          <w:rFonts w:asciiTheme="minorHAnsi" w:hAnsiTheme="minorHAnsi" w:cstheme="minorHAnsi"/>
          <w:b/>
          <w:bCs/>
          <w:sz w:val="28"/>
          <w:szCs w:val="28"/>
        </w:rPr>
        <w:t>Federal Requirements</w:t>
      </w:r>
    </w:p>
    <w:p w14:paraId="7CFF11DB" w14:textId="77777777" w:rsidR="00A03FE1" w:rsidRPr="00A03FE1" w:rsidRDefault="00A03FE1" w:rsidP="00575ED0">
      <w:pPr>
        <w:rPr>
          <w:rFonts w:asciiTheme="minorHAnsi" w:hAnsiTheme="minorHAnsi" w:cstheme="minorHAnsi"/>
        </w:rPr>
      </w:pPr>
    </w:p>
    <w:p w14:paraId="14EE7C6D" w14:textId="6E338548" w:rsidR="00E768A2" w:rsidRPr="00A03FE1" w:rsidRDefault="00E768A2" w:rsidP="00E768A2">
      <w:pPr>
        <w:rPr>
          <w:rFonts w:asciiTheme="minorHAnsi" w:hAnsiTheme="minorHAnsi" w:cstheme="minorHAnsi"/>
          <w:i/>
          <w:iCs/>
        </w:rPr>
      </w:pPr>
      <w:r w:rsidRPr="00A03FE1">
        <w:rPr>
          <w:rFonts w:asciiTheme="minorHAnsi" w:hAnsiTheme="minorHAnsi" w:cstheme="minorHAnsi"/>
        </w:rPr>
        <w:t xml:space="preserve">All </w:t>
      </w:r>
      <w:r w:rsidR="00F8507D" w:rsidRPr="00575ED0">
        <w:rPr>
          <w:rFonts w:asciiTheme="minorHAnsi" w:hAnsiTheme="minorHAnsi" w:cstheme="minorHAnsi"/>
        </w:rPr>
        <w:t xml:space="preserve">CoC affiliated organizations </w:t>
      </w:r>
      <w:r w:rsidRPr="00B102C2">
        <w:rPr>
          <w:rFonts w:asciiTheme="minorHAnsi" w:hAnsiTheme="minorHAnsi" w:cstheme="minorHAnsi"/>
        </w:rPr>
        <w:t>must</w:t>
      </w:r>
      <w:r w:rsidRPr="00A03FE1">
        <w:rPr>
          <w:rFonts w:asciiTheme="minorHAnsi" w:hAnsiTheme="minorHAnsi" w:cstheme="minorHAnsi"/>
        </w:rPr>
        <w:t xml:space="preserve"> abide by the CoC Interim Rule and observe all requirements outlined in </w:t>
      </w:r>
      <w:r w:rsidRPr="00AC4B7E">
        <w:rPr>
          <w:rFonts w:asciiTheme="minorHAnsi" w:hAnsiTheme="minorHAnsi" w:cstheme="minorHAnsi"/>
        </w:rPr>
        <w:t>24 CFR 5.105(a).</w:t>
      </w:r>
      <w:r w:rsidRPr="00B102C2">
        <w:rPr>
          <w:rFonts w:asciiTheme="minorHAnsi" w:hAnsiTheme="minorHAnsi" w:cstheme="minorHAnsi"/>
        </w:rPr>
        <w:t xml:space="preserve"> </w:t>
      </w:r>
      <w:r w:rsidRPr="00A03FE1">
        <w:rPr>
          <w:rFonts w:asciiTheme="minorHAnsi" w:hAnsiTheme="minorHAnsi" w:cstheme="minorHAnsi"/>
          <w:i/>
          <w:iCs/>
        </w:rPr>
        <w:t>These laws include, but are not limited to, The Equal Opportunity in Housing Programs, Civil Rights Act of 1964, Age Discrimination Act of 1975, Rehabilitation Act of 1973, Americans with Disabilities Act, Non-discrimination Based on Handicap in Federally Assisted Programs and Activities, Equal Employment Opportunity Program, and most importantly, the Fair Housing Act.</w:t>
      </w:r>
    </w:p>
    <w:p w14:paraId="6E987411" w14:textId="77777777" w:rsidR="00AF2BC8" w:rsidRPr="00A03FE1" w:rsidRDefault="00AF2BC8" w:rsidP="00E768A2">
      <w:pPr>
        <w:rPr>
          <w:rFonts w:asciiTheme="minorHAnsi" w:hAnsiTheme="minorHAnsi" w:cstheme="minorHAnsi"/>
        </w:rPr>
      </w:pPr>
    </w:p>
    <w:p w14:paraId="1C28220A" w14:textId="7086F889"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The Fair Housing Act identifies protected classes of people and prohibits discrimination </w:t>
      </w:r>
      <w:r w:rsidR="00864743" w:rsidRPr="00A03FE1">
        <w:rPr>
          <w:rFonts w:asciiTheme="minorHAnsi" w:hAnsiTheme="minorHAnsi" w:cstheme="minorHAnsi"/>
        </w:rPr>
        <w:t>of people minoritized by</w:t>
      </w:r>
      <w:r w:rsidR="008E6C80" w:rsidRPr="00A03FE1">
        <w:rPr>
          <w:rFonts w:asciiTheme="minorHAnsi" w:hAnsiTheme="minorHAnsi" w:cstheme="minorHAnsi"/>
        </w:rPr>
        <w:t xml:space="preserve"> any of the following grounds, and any combination of these grounds</w:t>
      </w:r>
      <w:r w:rsidR="00864743" w:rsidRPr="00A03FE1">
        <w:rPr>
          <w:rFonts w:asciiTheme="minorHAnsi" w:hAnsiTheme="minorHAnsi" w:cstheme="minorHAnsi"/>
        </w:rPr>
        <w:t>:</w:t>
      </w:r>
    </w:p>
    <w:p w14:paraId="4AAE9533" w14:textId="50D8B37A" w:rsidR="00E768A2" w:rsidRPr="00A03FE1" w:rsidRDefault="00E768A2" w:rsidP="00E768A2">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Race</w:t>
      </w:r>
    </w:p>
    <w:p w14:paraId="269EAEE1" w14:textId="7777777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Color</w:t>
      </w:r>
    </w:p>
    <w:p w14:paraId="30A7B00D" w14:textId="7777777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Religion</w:t>
      </w:r>
    </w:p>
    <w:p w14:paraId="2C19B30C" w14:textId="1B9CB397"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w:t>
      </w:r>
      <w:r w:rsidR="008E6C80" w:rsidRPr="00A03FE1">
        <w:rPr>
          <w:rFonts w:asciiTheme="minorHAnsi" w:eastAsia="Times New Roman" w:hAnsiTheme="minorHAnsi" w:cstheme="minorHAnsi"/>
          <w:sz w:val="22"/>
          <w:szCs w:val="22"/>
        </w:rPr>
        <w:t xml:space="preserve"> (including pregnancy and breastfeeding)</w:t>
      </w:r>
    </w:p>
    <w:p w14:paraId="40C161D3" w14:textId="5A4E0419"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Familial Status</w:t>
      </w:r>
      <w:r w:rsidR="008E6C80" w:rsidRPr="00A03FE1">
        <w:rPr>
          <w:rFonts w:asciiTheme="minorHAnsi" w:eastAsia="Times New Roman" w:hAnsiTheme="minorHAnsi" w:cstheme="minorHAnsi"/>
          <w:sz w:val="22"/>
          <w:szCs w:val="22"/>
        </w:rPr>
        <w:t xml:space="preserve"> (such as being in a parent-child relationship)</w:t>
      </w:r>
    </w:p>
    <w:p w14:paraId="55D2A0CF" w14:textId="7E0009C5" w:rsidR="00E768A2" w:rsidRPr="00A03FE1" w:rsidRDefault="00E768A2"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National Origin</w:t>
      </w:r>
    </w:p>
    <w:p w14:paraId="27839715" w14:textId="77777777" w:rsidR="003C7CBA" w:rsidRDefault="003C7CBA" w:rsidP="003C7CBA">
      <w:pPr>
        <w:pStyle w:val="ListParagraph"/>
        <w:spacing w:line="252" w:lineRule="auto"/>
        <w:rPr>
          <w:rFonts w:asciiTheme="minorHAnsi" w:eastAsia="Times New Roman" w:hAnsiTheme="minorHAnsi" w:cstheme="minorHAnsi"/>
          <w:sz w:val="22"/>
          <w:szCs w:val="22"/>
        </w:rPr>
      </w:pPr>
    </w:p>
    <w:p w14:paraId="31CE767D" w14:textId="676C2D95" w:rsidR="00CE3019" w:rsidRPr="00CE3019" w:rsidRDefault="00691D0B" w:rsidP="00CE3019">
      <w:pPr>
        <w:spacing w:line="252" w:lineRule="auto"/>
        <w:rPr>
          <w:rFonts w:asciiTheme="minorHAnsi" w:eastAsia="Times New Roman" w:hAnsiTheme="minorHAnsi" w:cstheme="minorHAnsi"/>
        </w:rPr>
      </w:pPr>
      <w:r>
        <w:rPr>
          <w:rFonts w:asciiTheme="minorHAnsi" w:eastAsia="Times New Roman" w:hAnsiTheme="minorHAnsi" w:cstheme="minorHAnsi"/>
        </w:rPr>
        <w:t xml:space="preserve">Additional </w:t>
      </w:r>
      <w:r w:rsidR="003C7CBA">
        <w:rPr>
          <w:rFonts w:asciiTheme="minorHAnsi" w:eastAsia="Times New Roman" w:hAnsiTheme="minorHAnsi" w:cstheme="minorHAnsi"/>
        </w:rPr>
        <w:t>consideration should</w:t>
      </w:r>
      <w:r w:rsidR="00E04A87">
        <w:rPr>
          <w:rFonts w:asciiTheme="minorHAnsi" w:eastAsia="Times New Roman" w:hAnsiTheme="minorHAnsi" w:cstheme="minorHAnsi"/>
        </w:rPr>
        <w:t xml:space="preserve"> be made for </w:t>
      </w:r>
      <w:r w:rsidR="00B7600D">
        <w:rPr>
          <w:rFonts w:asciiTheme="minorHAnsi" w:eastAsia="Times New Roman" w:hAnsiTheme="minorHAnsi" w:cstheme="minorHAnsi"/>
        </w:rPr>
        <w:t>these protected classes as identified locally by the CoC</w:t>
      </w:r>
      <w:r w:rsidR="003C7CBA">
        <w:rPr>
          <w:rFonts w:asciiTheme="minorHAnsi" w:eastAsia="Times New Roman" w:hAnsiTheme="minorHAnsi" w:cstheme="minorHAnsi"/>
        </w:rPr>
        <w:t>:</w:t>
      </w:r>
    </w:p>
    <w:p w14:paraId="6210B379" w14:textId="210C5FA7" w:rsidR="00C42B0C" w:rsidRPr="00CE3019" w:rsidRDefault="00CE3019" w:rsidP="00C42B0C">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Disability (including mental, physical, developmental, or learning disabilities)</w:t>
      </w:r>
    </w:p>
    <w:p w14:paraId="15EFF5FA"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Gender identity</w:t>
      </w:r>
    </w:p>
    <w:p w14:paraId="31BC388F"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Gender expression</w:t>
      </w:r>
    </w:p>
    <w:p w14:paraId="1CD29D65" w14:textId="77777777" w:rsidR="00C42B0C" w:rsidRPr="00A03FE1" w:rsidRDefault="00C42B0C" w:rsidP="00C42B0C">
      <w:pPr>
        <w:pStyle w:val="ListParagraph"/>
        <w:numPr>
          <w:ilvl w:val="0"/>
          <w:numId w:val="1"/>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Sexual orientation</w:t>
      </w:r>
    </w:p>
    <w:p w14:paraId="7BA3033A" w14:textId="77777777" w:rsidR="008E6C80" w:rsidRPr="00A03FE1" w:rsidRDefault="008E6C80"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Citizenship</w:t>
      </w:r>
    </w:p>
    <w:p w14:paraId="37BFD3F6" w14:textId="77777777" w:rsidR="008E6C80" w:rsidRPr="00A03FE1" w:rsidRDefault="008E6C80"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lastRenderedPageBreak/>
        <w:t>Ethnic origin</w:t>
      </w:r>
    </w:p>
    <w:p w14:paraId="55336300" w14:textId="77777777"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Record of offences (criminal conviction or for an offence for which a pardon has been received)</w:t>
      </w:r>
    </w:p>
    <w:p w14:paraId="2F69E0A6" w14:textId="77777777"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Association or relationship with a person identified by one of the above grounds</w:t>
      </w:r>
    </w:p>
    <w:p w14:paraId="33607186" w14:textId="47A456E0" w:rsidR="00207863" w:rsidRPr="00A03FE1" w:rsidRDefault="00207863" w:rsidP="00E768A2">
      <w:pPr>
        <w:pStyle w:val="ListParagraph"/>
        <w:numPr>
          <w:ilvl w:val="0"/>
          <w:numId w:val="1"/>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Perception that one of the above grounds applies</w:t>
      </w:r>
    </w:p>
    <w:p w14:paraId="123F26C5" w14:textId="77777777" w:rsidR="00207863" w:rsidRPr="00A03FE1" w:rsidRDefault="00207863" w:rsidP="00207863">
      <w:pPr>
        <w:pStyle w:val="ListParagraph"/>
        <w:spacing w:line="252" w:lineRule="auto"/>
        <w:rPr>
          <w:rFonts w:asciiTheme="minorHAnsi" w:eastAsia="Times New Roman" w:hAnsiTheme="minorHAnsi" w:cstheme="minorHAnsi"/>
          <w:sz w:val="22"/>
          <w:szCs w:val="22"/>
        </w:rPr>
      </w:pPr>
    </w:p>
    <w:p w14:paraId="0C701825" w14:textId="79A4EEDB" w:rsidR="00E768A2" w:rsidRPr="006D2C82" w:rsidRDefault="00E768A2" w:rsidP="006D2C82">
      <w:pPr>
        <w:jc w:val="center"/>
        <w:rPr>
          <w:rFonts w:asciiTheme="minorHAnsi" w:hAnsiTheme="minorHAnsi" w:cstheme="minorHAnsi"/>
          <w:b/>
          <w:bCs/>
          <w:sz w:val="28"/>
          <w:szCs w:val="28"/>
        </w:rPr>
      </w:pPr>
      <w:r w:rsidRPr="006D2C82">
        <w:rPr>
          <w:rFonts w:asciiTheme="minorHAnsi" w:hAnsiTheme="minorHAnsi" w:cstheme="minorHAnsi"/>
          <w:b/>
          <w:bCs/>
          <w:sz w:val="28"/>
          <w:szCs w:val="28"/>
        </w:rPr>
        <w:t>Equal Access to Housing in HUD Programs Regardless of Sexual Orientation or Gender Identity</w:t>
      </w:r>
      <w:r w:rsidRPr="006D2C82">
        <w:rPr>
          <w:rStyle w:val="FootnoteReference"/>
          <w:rFonts w:asciiTheme="minorHAnsi" w:hAnsiTheme="minorHAnsi" w:cstheme="minorHAnsi"/>
          <w:b/>
          <w:bCs/>
          <w:sz w:val="28"/>
          <w:szCs w:val="28"/>
        </w:rPr>
        <w:footnoteReference w:customMarkFollows="1" w:id="2"/>
        <w:t>[1]</w:t>
      </w:r>
    </w:p>
    <w:p w14:paraId="46E3DAC4" w14:textId="77777777" w:rsidR="006D2C82" w:rsidRPr="00A03FE1" w:rsidRDefault="006D2C82" w:rsidP="00E768A2">
      <w:pPr>
        <w:rPr>
          <w:rFonts w:asciiTheme="minorHAnsi" w:hAnsiTheme="minorHAnsi" w:cstheme="minorHAnsi"/>
          <w:b/>
          <w:bCs/>
        </w:rPr>
      </w:pPr>
    </w:p>
    <w:p w14:paraId="435AE8FB" w14:textId="6898BDFF"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On February 3, 2012, HUD published its final rule expanding protections in housing for the </w:t>
      </w:r>
      <w:r w:rsidRPr="00E10BA0">
        <w:rPr>
          <w:rFonts w:asciiTheme="minorHAnsi" w:hAnsiTheme="minorHAnsi" w:cstheme="minorHAnsi"/>
        </w:rPr>
        <w:t>LGBT</w:t>
      </w:r>
      <w:r w:rsidR="004E4B8B" w:rsidRPr="00E10BA0">
        <w:rPr>
          <w:rFonts w:asciiTheme="minorHAnsi" w:hAnsiTheme="minorHAnsi" w:cstheme="minorHAnsi"/>
        </w:rPr>
        <w:t>QA+</w:t>
      </w:r>
      <w:r w:rsidRPr="00E10BA0">
        <w:rPr>
          <w:rFonts w:asciiTheme="minorHAnsi" w:hAnsiTheme="minorHAnsi" w:cstheme="minorHAnsi"/>
        </w:rPr>
        <w:t>* community.</w:t>
      </w:r>
      <w:r w:rsidRPr="00A03FE1">
        <w:rPr>
          <w:rFonts w:asciiTheme="minorHAnsi" w:hAnsiTheme="minorHAnsi" w:cstheme="minorHAnsi"/>
        </w:rPr>
        <w:t xml:space="preserve"> This rule further prohibits discrimination based on:</w:t>
      </w:r>
    </w:p>
    <w:p w14:paraId="11A8BF1A" w14:textId="77777777" w:rsidR="00E768A2" w:rsidRPr="00A03FE1" w:rsidRDefault="00E768A2" w:rsidP="00E768A2">
      <w:pPr>
        <w:pStyle w:val="ListParagraph"/>
        <w:numPr>
          <w:ilvl w:val="0"/>
          <w:numId w:val="2"/>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sexual orientation</w:t>
      </w:r>
    </w:p>
    <w:p w14:paraId="11B7FABA" w14:textId="77777777" w:rsidR="00E768A2" w:rsidRPr="00A03FE1" w:rsidRDefault="00E768A2" w:rsidP="00E768A2">
      <w:pPr>
        <w:pStyle w:val="ListParagraph"/>
        <w:numPr>
          <w:ilvl w:val="0"/>
          <w:numId w:val="2"/>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gender identity, where gender identity means “actual or perceived gender-related characteristics”</w:t>
      </w:r>
    </w:p>
    <w:p w14:paraId="5A1A6079" w14:textId="2A6006F3" w:rsidR="00E768A2" w:rsidRPr="00A03FE1" w:rsidRDefault="00E768A2" w:rsidP="00E768A2">
      <w:pPr>
        <w:pStyle w:val="ListParagraph"/>
        <w:numPr>
          <w:ilvl w:val="0"/>
          <w:numId w:val="2"/>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Actual or perceived marital status</w:t>
      </w:r>
    </w:p>
    <w:p w14:paraId="40F75498" w14:textId="77777777" w:rsidR="00FD19D1" w:rsidRPr="00A03FE1" w:rsidRDefault="00FD19D1" w:rsidP="0019094D">
      <w:pPr>
        <w:spacing w:line="252" w:lineRule="auto"/>
        <w:ind w:left="360"/>
        <w:rPr>
          <w:rFonts w:asciiTheme="minorHAnsi" w:eastAsia="Times New Roman" w:hAnsiTheme="minorHAnsi" w:cstheme="minorHAnsi"/>
          <w:highlight w:val="yellow"/>
        </w:rPr>
      </w:pPr>
    </w:p>
    <w:p w14:paraId="40395752" w14:textId="7086FA38" w:rsidR="00FD19D1" w:rsidRPr="00A03FE1" w:rsidRDefault="004A1503" w:rsidP="00E768A2">
      <w:pPr>
        <w:rPr>
          <w:rFonts w:asciiTheme="minorHAnsi" w:hAnsiTheme="minorHAnsi" w:cstheme="minorHAnsi"/>
        </w:rPr>
      </w:pPr>
      <w:r>
        <w:rPr>
          <w:rFonts w:asciiTheme="minorHAnsi" w:hAnsiTheme="minorHAnsi" w:cstheme="minorHAnsi"/>
        </w:rPr>
        <w:t>CoC affiliated organizations</w:t>
      </w:r>
      <w:r w:rsidR="00D6624C" w:rsidRPr="00A03FE1">
        <w:rPr>
          <w:rFonts w:asciiTheme="minorHAnsi" w:hAnsiTheme="minorHAnsi" w:cstheme="minorHAnsi"/>
        </w:rPr>
        <w:t xml:space="preserve"> will ensure equal access to programs for all individuals and their families; provide housing, services, and/or accommodations in accordance with a clients’ gender identity; and determine eligibility without regard to actual or perceived sexual orientation, gender identity, or marital status.</w:t>
      </w:r>
    </w:p>
    <w:p w14:paraId="57794B26" w14:textId="6344C925" w:rsidR="00A03FE1" w:rsidRPr="00A03FE1" w:rsidRDefault="00A03FE1" w:rsidP="00E768A2">
      <w:pPr>
        <w:rPr>
          <w:rFonts w:asciiTheme="minorHAnsi" w:hAnsiTheme="minorHAnsi" w:cstheme="minorHAnsi"/>
        </w:rPr>
      </w:pPr>
    </w:p>
    <w:p w14:paraId="60E57033" w14:textId="300585D5" w:rsidR="00A03FE1" w:rsidRPr="00A03FE1" w:rsidRDefault="00A03FE1" w:rsidP="00E768A2">
      <w:pPr>
        <w:rPr>
          <w:rFonts w:asciiTheme="minorHAnsi" w:hAnsiTheme="minorHAnsi" w:cstheme="minorHAnsi"/>
        </w:rPr>
      </w:pPr>
      <w:r w:rsidRPr="00A03FE1">
        <w:rPr>
          <w:rFonts w:asciiTheme="minorHAnsi" w:hAnsiTheme="minorHAnsi" w:cstheme="minorHAnsi"/>
        </w:rPr>
        <w:t xml:space="preserve">The CoC will continue to develop partnerships with organizations that can provide expertise around providing services to transgender and gender nonconforming individuals in a manner consistent with federal, state, and local laws. All </w:t>
      </w:r>
      <w:r w:rsidR="00A01CC8">
        <w:rPr>
          <w:rFonts w:asciiTheme="minorHAnsi" w:hAnsiTheme="minorHAnsi" w:cstheme="minorHAnsi"/>
        </w:rPr>
        <w:t xml:space="preserve">CoC affiliated </w:t>
      </w:r>
      <w:r w:rsidR="00FD2D7B">
        <w:rPr>
          <w:rFonts w:asciiTheme="minorHAnsi" w:hAnsiTheme="minorHAnsi" w:cstheme="minorHAnsi"/>
        </w:rPr>
        <w:t>organizations</w:t>
      </w:r>
      <w:r w:rsidRPr="00A03FE1">
        <w:rPr>
          <w:rFonts w:asciiTheme="minorHAnsi" w:hAnsiTheme="minorHAnsi" w:cstheme="minorHAnsi"/>
        </w:rPr>
        <w:t xml:space="preserve"> affirm commitment to providing equal access for all transgender and gender nonconforming individuals in a manner consistent with the equal access rule and provide services to transgender and gender nonconforming individuals in a manner consistent with the equal access rule.</w:t>
      </w:r>
    </w:p>
    <w:p w14:paraId="6C5905AD" w14:textId="77777777" w:rsidR="00D6624C" w:rsidRPr="00A03FE1" w:rsidRDefault="00D6624C" w:rsidP="00E768A2">
      <w:pPr>
        <w:rPr>
          <w:rFonts w:asciiTheme="minorHAnsi" w:hAnsiTheme="minorHAnsi" w:cstheme="minorHAnsi"/>
        </w:rPr>
      </w:pPr>
    </w:p>
    <w:p w14:paraId="6A5483F7" w14:textId="5B62B0BA" w:rsidR="00E768A2" w:rsidRDefault="00E768A2" w:rsidP="00E768A2">
      <w:pPr>
        <w:rPr>
          <w:rFonts w:asciiTheme="minorHAnsi" w:hAnsiTheme="minorHAnsi" w:cstheme="minorHAnsi"/>
        </w:rPr>
      </w:pPr>
      <w:r w:rsidRPr="00A03FE1">
        <w:rPr>
          <w:rFonts w:asciiTheme="minorHAnsi" w:hAnsiTheme="minorHAnsi" w:cstheme="minorHAnsi"/>
        </w:rPr>
        <w:t xml:space="preserve">Furthermore, CoC-program funded projects that provide </w:t>
      </w:r>
      <w:r w:rsidRPr="00AC4B7E">
        <w:rPr>
          <w:rFonts w:asciiTheme="minorHAnsi" w:hAnsiTheme="minorHAnsi" w:cstheme="minorHAnsi"/>
        </w:rPr>
        <w:t>single-sex accommodations</w:t>
      </w:r>
      <w:r w:rsidRPr="00A03FE1">
        <w:rPr>
          <w:rFonts w:asciiTheme="minorHAnsi" w:hAnsiTheme="minorHAnsi" w:cstheme="minorHAnsi"/>
        </w:rPr>
        <w:t xml:space="preserve"> must follow guidelines set forth by </w:t>
      </w:r>
      <w:r w:rsidRPr="00AC4B7E">
        <w:rPr>
          <w:rFonts w:asciiTheme="minorHAnsi" w:hAnsiTheme="minorHAnsi" w:cstheme="minorHAnsi"/>
        </w:rPr>
        <w:t>HUD in Notice CPD-15-02</w:t>
      </w:r>
      <w:r w:rsidRPr="00D52874">
        <w:rPr>
          <w:rFonts w:asciiTheme="minorHAnsi" w:hAnsiTheme="minorHAnsi" w:cstheme="minorHAnsi"/>
        </w:rPr>
        <w:t xml:space="preserve"> </w:t>
      </w:r>
      <w:r w:rsidRPr="00A03FE1">
        <w:rPr>
          <w:rFonts w:asciiTheme="minorHAnsi" w:hAnsiTheme="minorHAnsi" w:cstheme="minorHAnsi"/>
        </w:rPr>
        <w:t xml:space="preserve">when inquiring about sex and gender </w:t>
      </w:r>
      <w:proofErr w:type="gramStart"/>
      <w:r w:rsidRPr="00A03FE1">
        <w:rPr>
          <w:rFonts w:asciiTheme="minorHAnsi" w:hAnsiTheme="minorHAnsi" w:cstheme="minorHAnsi"/>
        </w:rPr>
        <w:t>with regard to</w:t>
      </w:r>
      <w:proofErr w:type="gramEnd"/>
      <w:r w:rsidRPr="00A03FE1">
        <w:rPr>
          <w:rFonts w:asciiTheme="minorHAnsi" w:hAnsiTheme="minorHAnsi" w:cstheme="minorHAnsi"/>
        </w:rPr>
        <w:t xml:space="preserve"> placement, safety, and privacy</w:t>
      </w:r>
      <w:r w:rsidR="007C1673">
        <w:rPr>
          <w:rFonts w:asciiTheme="minorHAnsi" w:hAnsiTheme="minorHAnsi" w:cstheme="minorHAnsi"/>
        </w:rPr>
        <w:t xml:space="preserve"> which indicates that:</w:t>
      </w:r>
      <w:r w:rsidR="00DD1F61">
        <w:rPr>
          <w:rFonts w:asciiTheme="minorHAnsi" w:hAnsiTheme="minorHAnsi" w:cstheme="minorHAnsi"/>
        </w:rPr>
        <w:t xml:space="preserve"> </w:t>
      </w:r>
      <w:r w:rsidRPr="00A03FE1">
        <w:rPr>
          <w:rStyle w:val="FootnoteReference"/>
          <w:rFonts w:asciiTheme="minorHAnsi" w:hAnsiTheme="minorHAnsi" w:cstheme="minorHAnsi"/>
        </w:rPr>
        <w:footnoteReference w:customMarkFollows="1" w:id="3"/>
        <w:t>[2]</w:t>
      </w:r>
      <w:r w:rsidRPr="00A03FE1">
        <w:rPr>
          <w:rFonts w:asciiTheme="minorHAnsi" w:hAnsiTheme="minorHAnsi" w:cstheme="minorHAnsi"/>
        </w:rPr>
        <w:t xml:space="preserve"> </w:t>
      </w:r>
    </w:p>
    <w:p w14:paraId="0E2DFC72" w14:textId="2034B8CA" w:rsidR="00DD1F61" w:rsidRPr="00DD1F61" w:rsidRDefault="00DD1F61" w:rsidP="00DD1F61">
      <w:pPr>
        <w:pStyle w:val="ListParagraph"/>
        <w:numPr>
          <w:ilvl w:val="0"/>
          <w:numId w:val="9"/>
        </w:numPr>
        <w:rPr>
          <w:rFonts w:asciiTheme="minorHAnsi" w:hAnsiTheme="minorHAnsi" w:cstheme="minorHAnsi"/>
          <w:sz w:val="22"/>
          <w:szCs w:val="22"/>
        </w:rPr>
      </w:pPr>
      <w:r w:rsidRPr="00DD1F61">
        <w:rPr>
          <w:rFonts w:asciiTheme="minorHAnsi" w:hAnsiTheme="minorHAnsi" w:cstheme="minorHAnsi"/>
          <w:sz w:val="22"/>
          <w:szCs w:val="22"/>
        </w:rPr>
        <w:t>Participants should be asked which accommodations best align with their gender identity and placed in the corresponding accommodation type</w:t>
      </w:r>
    </w:p>
    <w:p w14:paraId="3099A935" w14:textId="304CD256" w:rsidR="007C1673" w:rsidRPr="00DD1F61" w:rsidRDefault="007C1673" w:rsidP="007C1673">
      <w:pPr>
        <w:pStyle w:val="ListParagraph"/>
        <w:numPr>
          <w:ilvl w:val="0"/>
          <w:numId w:val="9"/>
        </w:numPr>
        <w:rPr>
          <w:rFonts w:asciiTheme="minorHAnsi" w:hAnsiTheme="minorHAnsi" w:cstheme="minorHAnsi"/>
          <w:sz w:val="22"/>
          <w:szCs w:val="22"/>
        </w:rPr>
      </w:pPr>
      <w:r w:rsidRPr="00DD1F61">
        <w:rPr>
          <w:rFonts w:asciiTheme="minorHAnsi" w:hAnsiTheme="minorHAnsi" w:cstheme="minorHAnsi"/>
          <w:sz w:val="22"/>
          <w:szCs w:val="22"/>
        </w:rPr>
        <w:t xml:space="preserve">Providers </w:t>
      </w:r>
      <w:r w:rsidR="00DD1F61" w:rsidRPr="00DD1F61">
        <w:rPr>
          <w:rFonts w:asciiTheme="minorHAnsi" w:hAnsiTheme="minorHAnsi" w:cstheme="minorHAnsi"/>
          <w:sz w:val="22"/>
          <w:szCs w:val="22"/>
        </w:rPr>
        <w:t>must</w:t>
      </w:r>
      <w:r w:rsidRPr="00DD1F61">
        <w:rPr>
          <w:rFonts w:asciiTheme="minorHAnsi" w:hAnsiTheme="minorHAnsi" w:cstheme="minorHAnsi"/>
          <w:sz w:val="22"/>
          <w:szCs w:val="22"/>
        </w:rPr>
        <w:t xml:space="preserve"> not inquire about anatomy and medical history </w:t>
      </w:r>
      <w:r w:rsidR="00DD1F61" w:rsidRPr="00DD1F61">
        <w:rPr>
          <w:rFonts w:asciiTheme="minorHAnsi" w:hAnsiTheme="minorHAnsi" w:cstheme="minorHAnsi"/>
          <w:sz w:val="22"/>
          <w:szCs w:val="22"/>
        </w:rPr>
        <w:t>when determining which accommodations are appropriate</w:t>
      </w:r>
    </w:p>
    <w:p w14:paraId="47577877" w14:textId="77777777" w:rsidR="00E768A2" w:rsidRPr="00A03FE1" w:rsidRDefault="00E768A2" w:rsidP="00E768A2">
      <w:pPr>
        <w:rPr>
          <w:rFonts w:asciiTheme="minorHAnsi" w:hAnsiTheme="minorHAnsi" w:cstheme="minorHAnsi"/>
        </w:rPr>
      </w:pPr>
    </w:p>
    <w:p w14:paraId="01B54FFD" w14:textId="77777777" w:rsidR="00E768A2" w:rsidRPr="00A03FE1" w:rsidRDefault="00E768A2" w:rsidP="00E768A2">
      <w:pPr>
        <w:jc w:val="center"/>
        <w:rPr>
          <w:rFonts w:asciiTheme="minorHAnsi" w:hAnsiTheme="minorHAnsi" w:cstheme="minorHAnsi"/>
        </w:rPr>
      </w:pPr>
      <w:r w:rsidRPr="00A03FE1">
        <w:rPr>
          <w:rFonts w:asciiTheme="minorHAnsi" w:hAnsiTheme="minorHAnsi" w:cstheme="minorHAnsi"/>
          <w:b/>
          <w:bCs/>
        </w:rPr>
        <w:t>State Requirements</w:t>
      </w:r>
    </w:p>
    <w:p w14:paraId="23CA5FD3" w14:textId="14F04F03"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All member agencies must abide by the </w:t>
      </w:r>
      <w:r w:rsidRPr="00AC4B7E">
        <w:rPr>
          <w:rFonts w:asciiTheme="minorHAnsi" w:hAnsiTheme="minorHAnsi" w:cstheme="minorHAnsi"/>
        </w:rPr>
        <w:t>New York State Human Rights Law</w:t>
      </w:r>
      <w:r w:rsidRPr="00AC4B7E">
        <w:rPr>
          <w:rStyle w:val="FootnoteReference"/>
          <w:rFonts w:asciiTheme="minorHAnsi" w:hAnsiTheme="minorHAnsi" w:cstheme="minorHAnsi"/>
        </w:rPr>
        <w:footnoteReference w:customMarkFollows="1" w:id="4"/>
        <w:t>[</w:t>
      </w:r>
      <w:r w:rsidRPr="00A03FE1">
        <w:rPr>
          <w:rStyle w:val="FootnoteReference"/>
          <w:rFonts w:asciiTheme="minorHAnsi" w:hAnsiTheme="minorHAnsi" w:cstheme="minorHAnsi"/>
        </w:rPr>
        <w:t>3]</w:t>
      </w:r>
      <w:r w:rsidRPr="00A03FE1">
        <w:rPr>
          <w:rFonts w:asciiTheme="minorHAnsi" w:hAnsiTheme="minorHAnsi" w:cstheme="minorHAnsi"/>
        </w:rPr>
        <w:t xml:space="preserve">, which protects </w:t>
      </w:r>
      <w:r w:rsidR="00DD1F61" w:rsidRPr="00A03FE1">
        <w:rPr>
          <w:rFonts w:asciiTheme="minorHAnsi" w:hAnsiTheme="minorHAnsi" w:cstheme="minorHAnsi"/>
        </w:rPr>
        <w:t>all</w:t>
      </w:r>
      <w:r w:rsidRPr="00A03FE1">
        <w:rPr>
          <w:rFonts w:asciiTheme="minorHAnsi" w:hAnsiTheme="minorHAnsi" w:cstheme="minorHAnsi"/>
        </w:rPr>
        <w:t xml:space="preserve"> the previously listed classes of people and further prohibits discrimination </w:t>
      </w:r>
      <w:r w:rsidR="00F65151" w:rsidRPr="00A03FE1">
        <w:rPr>
          <w:rFonts w:asciiTheme="minorHAnsi" w:hAnsiTheme="minorHAnsi" w:cstheme="minorHAnsi"/>
        </w:rPr>
        <w:t>of people minoritized by:</w:t>
      </w:r>
    </w:p>
    <w:p w14:paraId="25CADD00" w14:textId="2435D02E" w:rsidR="00E768A2" w:rsidRPr="00A03FE1" w:rsidRDefault="00E768A2" w:rsidP="00E768A2">
      <w:pPr>
        <w:pStyle w:val="ListParagraph"/>
        <w:numPr>
          <w:ilvl w:val="0"/>
          <w:numId w:val="3"/>
        </w:numPr>
        <w:spacing w:line="252" w:lineRule="auto"/>
        <w:contextualSpacing/>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Creed</w:t>
      </w:r>
      <w:r w:rsidR="005628CE" w:rsidRPr="00A03FE1">
        <w:rPr>
          <w:rFonts w:asciiTheme="minorHAnsi" w:eastAsia="Times New Roman" w:hAnsiTheme="minorHAnsi" w:cstheme="minorHAnsi"/>
          <w:sz w:val="22"/>
          <w:szCs w:val="22"/>
        </w:rPr>
        <w:t xml:space="preserve"> (religion)</w:t>
      </w:r>
    </w:p>
    <w:p w14:paraId="728D0E15"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Age</w:t>
      </w:r>
    </w:p>
    <w:p w14:paraId="2862279A"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Sexual Orientation</w:t>
      </w:r>
      <w:r w:rsidRPr="00A03FE1">
        <w:rPr>
          <w:rStyle w:val="FootnoteReference"/>
          <w:rFonts w:asciiTheme="minorHAnsi" w:eastAsia="Times New Roman" w:hAnsiTheme="minorHAnsi" w:cstheme="minorHAnsi"/>
          <w:sz w:val="22"/>
          <w:szCs w:val="22"/>
        </w:rPr>
        <w:footnoteReference w:customMarkFollows="1" w:id="5"/>
        <w:t>[4]</w:t>
      </w:r>
      <w:r w:rsidRPr="00A03FE1">
        <w:rPr>
          <w:rFonts w:asciiTheme="minorHAnsi" w:eastAsia="Times New Roman" w:hAnsiTheme="minorHAnsi" w:cstheme="minorHAnsi"/>
          <w:sz w:val="22"/>
          <w:szCs w:val="22"/>
        </w:rPr>
        <w:t>, which is also protected further under the Sexual Orientation Non-discrimination Act (SONDA)</w:t>
      </w:r>
    </w:p>
    <w:p w14:paraId="58960F0B"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lastRenderedPageBreak/>
        <w:t>Marital Status</w:t>
      </w:r>
    </w:p>
    <w:p w14:paraId="0FCBF982" w14:textId="77777777" w:rsidR="00E768A2" w:rsidRPr="00A03FE1" w:rsidRDefault="00E768A2" w:rsidP="00E768A2">
      <w:pPr>
        <w:pStyle w:val="ListParagraph"/>
        <w:numPr>
          <w:ilvl w:val="0"/>
          <w:numId w:val="3"/>
        </w:numPr>
        <w:spacing w:line="252" w:lineRule="auto"/>
        <w:rPr>
          <w:rFonts w:asciiTheme="minorHAnsi" w:eastAsia="Times New Roman" w:hAnsiTheme="minorHAnsi" w:cstheme="minorHAnsi"/>
          <w:sz w:val="22"/>
          <w:szCs w:val="22"/>
        </w:rPr>
      </w:pPr>
      <w:r w:rsidRPr="00A03FE1">
        <w:rPr>
          <w:rFonts w:asciiTheme="minorHAnsi" w:eastAsia="Times New Roman" w:hAnsiTheme="minorHAnsi" w:cstheme="minorHAnsi"/>
          <w:sz w:val="22"/>
          <w:szCs w:val="22"/>
        </w:rPr>
        <w:t xml:space="preserve">Military Status </w:t>
      </w:r>
    </w:p>
    <w:p w14:paraId="7F9E5CEF" w14:textId="77777777" w:rsidR="00A03FE1" w:rsidRPr="00A03FE1" w:rsidRDefault="00A03FE1" w:rsidP="00E768A2">
      <w:pPr>
        <w:jc w:val="center"/>
        <w:rPr>
          <w:rFonts w:asciiTheme="minorHAnsi" w:hAnsiTheme="minorHAnsi" w:cstheme="minorHAnsi"/>
          <w:b/>
          <w:bCs/>
        </w:rPr>
      </w:pPr>
    </w:p>
    <w:p w14:paraId="7BD5AA14" w14:textId="77777777" w:rsidR="00A03FE1" w:rsidRPr="00A03FE1" w:rsidRDefault="00A03FE1" w:rsidP="00E768A2">
      <w:pPr>
        <w:jc w:val="center"/>
        <w:rPr>
          <w:rFonts w:asciiTheme="minorHAnsi" w:hAnsiTheme="minorHAnsi" w:cstheme="minorHAnsi"/>
          <w:b/>
          <w:bCs/>
        </w:rPr>
      </w:pPr>
    </w:p>
    <w:p w14:paraId="1F2FA1E8" w14:textId="79603B73" w:rsidR="00E768A2" w:rsidRPr="00A03FE1" w:rsidRDefault="00E768A2" w:rsidP="00E768A2">
      <w:pPr>
        <w:jc w:val="center"/>
        <w:rPr>
          <w:rFonts w:asciiTheme="minorHAnsi" w:hAnsiTheme="minorHAnsi" w:cstheme="minorHAnsi"/>
          <w:b/>
          <w:bCs/>
        </w:rPr>
      </w:pPr>
      <w:r w:rsidRPr="00A03FE1">
        <w:rPr>
          <w:rFonts w:asciiTheme="minorHAnsi" w:hAnsiTheme="minorHAnsi" w:cstheme="minorHAnsi"/>
          <w:b/>
          <w:bCs/>
        </w:rPr>
        <w:t xml:space="preserve">Ensuring Equal Access and Effective Service </w:t>
      </w:r>
      <w:r w:rsidRPr="00A03FE1">
        <w:rPr>
          <w:rFonts w:asciiTheme="minorHAnsi" w:hAnsiTheme="minorHAnsi" w:cstheme="minorHAnsi"/>
          <w:b/>
          <w:bCs/>
        </w:rPr>
        <w:br/>
        <w:t xml:space="preserve">to People with Disabilities </w:t>
      </w:r>
    </w:p>
    <w:p w14:paraId="0163052C" w14:textId="77777777" w:rsidR="00E768A2" w:rsidRPr="00A03FE1" w:rsidRDefault="00E768A2" w:rsidP="00E768A2">
      <w:pPr>
        <w:rPr>
          <w:rFonts w:asciiTheme="minorHAnsi" w:hAnsiTheme="minorHAnsi" w:cstheme="minorHAnsi"/>
          <w:b/>
          <w:bCs/>
        </w:rPr>
      </w:pPr>
      <w:r w:rsidRPr="00A03FE1">
        <w:rPr>
          <w:rFonts w:asciiTheme="minorHAnsi" w:hAnsiTheme="minorHAnsi" w:cstheme="minorHAnsi"/>
          <w:b/>
          <w:bCs/>
        </w:rPr>
        <w:t>Promoting Effective Communication</w:t>
      </w:r>
      <w:r w:rsidRPr="00A03FE1">
        <w:rPr>
          <w:rStyle w:val="FootnoteReference"/>
          <w:rFonts w:asciiTheme="minorHAnsi" w:hAnsiTheme="minorHAnsi" w:cstheme="minorHAnsi"/>
          <w:b/>
          <w:bCs/>
        </w:rPr>
        <w:footnoteReference w:customMarkFollows="1" w:id="6"/>
        <w:t>[5]</w:t>
      </w:r>
      <w:r w:rsidRPr="00A03FE1">
        <w:rPr>
          <w:rFonts w:asciiTheme="minorHAnsi" w:hAnsiTheme="minorHAnsi" w:cstheme="minorHAnsi"/>
          <w:b/>
          <w:bCs/>
        </w:rPr>
        <w:t xml:space="preserve"> </w:t>
      </w:r>
    </w:p>
    <w:p w14:paraId="4ECA0BD3" w14:textId="18437A1B" w:rsidR="00E768A2" w:rsidRPr="00A03FE1" w:rsidRDefault="00317B87" w:rsidP="00E768A2">
      <w:pPr>
        <w:rPr>
          <w:rFonts w:asciiTheme="minorHAnsi" w:hAnsiTheme="minorHAnsi" w:cstheme="minorHAnsi"/>
        </w:rPr>
      </w:pPr>
      <w:r>
        <w:t>CoC Program projects must: take steps to ensure effective communication with current and prospective participants, and the public, with communication disabilities; ensure that their application and admissions process and services are accessible/understandable by persons with disabilities</w:t>
      </w:r>
      <w:r>
        <w:rPr>
          <w:rFonts w:asciiTheme="minorHAnsi" w:hAnsiTheme="minorHAnsi" w:cstheme="minorHAnsi"/>
        </w:rPr>
        <w:t>.</w:t>
      </w:r>
      <w:r w:rsidR="00E768A2" w:rsidRPr="00A03FE1">
        <w:rPr>
          <w:rFonts w:asciiTheme="minorHAnsi" w:hAnsiTheme="minorHAnsi" w:cstheme="minorHAnsi"/>
        </w:rPr>
        <w:t xml:space="preserve"> </w:t>
      </w:r>
    </w:p>
    <w:p w14:paraId="38348940" w14:textId="77777777" w:rsidR="00E768A2" w:rsidRPr="00A03FE1" w:rsidRDefault="00E768A2" w:rsidP="00E768A2">
      <w:pPr>
        <w:rPr>
          <w:rFonts w:asciiTheme="minorHAnsi" w:hAnsiTheme="minorHAnsi" w:cstheme="minorHAnsi"/>
        </w:rPr>
      </w:pPr>
      <w:r w:rsidRPr="00A03FE1">
        <w:rPr>
          <w:rFonts w:asciiTheme="minorHAnsi" w:hAnsiTheme="minorHAnsi" w:cstheme="minorHAnsi"/>
          <w:b/>
          <w:bCs/>
        </w:rPr>
        <w:t xml:space="preserve">Reasonable Accommodations and Modifications </w:t>
      </w:r>
    </w:p>
    <w:p w14:paraId="52823B42" w14:textId="77777777"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All member agencies will make reasonable accommodations to their rules, policies, practices, or services when necessary for people with disabilities to have equal opportunity to access services. Further, member agencies will allow reasonable modifications to housing facility structures so that people with disabilities have the equal opportunity to utilize and enjoy all aspects of their housing. </w:t>
      </w:r>
    </w:p>
    <w:p w14:paraId="6928391A" w14:textId="77777777" w:rsidR="00E768A2" w:rsidRPr="00A03FE1" w:rsidRDefault="00E768A2" w:rsidP="00E768A2">
      <w:pPr>
        <w:rPr>
          <w:rFonts w:asciiTheme="minorHAnsi" w:hAnsiTheme="minorHAnsi" w:cstheme="minorHAnsi"/>
        </w:rPr>
      </w:pPr>
      <w:r w:rsidRPr="00A03FE1">
        <w:rPr>
          <w:rFonts w:asciiTheme="minorHAnsi" w:hAnsiTheme="minorHAnsi" w:cstheme="minorHAnsi"/>
          <w:b/>
          <w:bCs/>
        </w:rPr>
        <w:t xml:space="preserve">Integrated Service Delivery </w:t>
      </w:r>
      <w:r w:rsidRPr="00A03FE1">
        <w:rPr>
          <w:rFonts w:asciiTheme="minorHAnsi" w:hAnsiTheme="minorHAnsi" w:cstheme="minorHAnsi"/>
          <w:b/>
          <w:bCs/>
        </w:rPr>
        <w:br/>
      </w:r>
      <w:r w:rsidRPr="00A03FE1">
        <w:rPr>
          <w:rFonts w:asciiTheme="minorHAnsi" w:hAnsiTheme="minorHAnsi" w:cstheme="minorHAnsi"/>
        </w:rPr>
        <w:t xml:space="preserve">All member agencies will provide services in the most integrated setting appropriate to the needs of people with disabilities.  </w:t>
      </w:r>
    </w:p>
    <w:p w14:paraId="47238A63" w14:textId="77777777" w:rsidR="00E768A2" w:rsidRPr="00A03FE1" w:rsidRDefault="00E768A2" w:rsidP="00E768A2">
      <w:pPr>
        <w:rPr>
          <w:rFonts w:asciiTheme="minorHAnsi" w:hAnsiTheme="minorHAnsi" w:cstheme="minorHAnsi"/>
          <w:b/>
          <w:bCs/>
        </w:rPr>
      </w:pPr>
    </w:p>
    <w:p w14:paraId="3980E00A" w14:textId="37F33AAE" w:rsidR="00E768A2" w:rsidRPr="00A03FE1" w:rsidRDefault="00E768A2" w:rsidP="00E768A2">
      <w:pPr>
        <w:jc w:val="center"/>
        <w:rPr>
          <w:rFonts w:asciiTheme="minorHAnsi" w:hAnsiTheme="minorHAnsi" w:cstheme="minorHAnsi"/>
          <w:b/>
          <w:bCs/>
        </w:rPr>
      </w:pPr>
      <w:r w:rsidRPr="00A03FE1">
        <w:rPr>
          <w:rFonts w:asciiTheme="minorHAnsi" w:hAnsiTheme="minorHAnsi" w:cstheme="minorHAnsi"/>
          <w:b/>
          <w:bCs/>
        </w:rPr>
        <w:t xml:space="preserve">Transparency in Handling Allegations of Discrimination </w:t>
      </w:r>
    </w:p>
    <w:p w14:paraId="091EED12" w14:textId="77777777" w:rsidR="00A03FE1" w:rsidRPr="00A03FE1" w:rsidRDefault="00A03FE1" w:rsidP="00E768A2">
      <w:pPr>
        <w:jc w:val="center"/>
        <w:rPr>
          <w:rFonts w:asciiTheme="minorHAnsi" w:hAnsiTheme="minorHAnsi" w:cstheme="minorHAnsi"/>
          <w:b/>
          <w:bCs/>
        </w:rPr>
      </w:pPr>
    </w:p>
    <w:p w14:paraId="201FC4F0" w14:textId="3DE076EA" w:rsidR="00E768A2" w:rsidRPr="00A03FE1" w:rsidRDefault="0019094D" w:rsidP="00E768A2">
      <w:pPr>
        <w:rPr>
          <w:rFonts w:asciiTheme="minorHAnsi" w:hAnsiTheme="minorHAnsi" w:cstheme="minorHAnsi"/>
        </w:rPr>
      </w:pPr>
      <w:r w:rsidRPr="00A03FE1">
        <w:rPr>
          <w:rFonts w:asciiTheme="minorHAnsi" w:hAnsiTheme="minorHAnsi" w:cstheme="minorHAnsi"/>
        </w:rPr>
        <w:t>The CoC encourages the prompt reporting of all incidents of discrimination and non-compliance with this policy.</w:t>
      </w:r>
      <w:r w:rsidR="00A03FE1" w:rsidRPr="00A03FE1">
        <w:rPr>
          <w:rFonts w:asciiTheme="minorHAnsi" w:hAnsiTheme="minorHAnsi" w:cstheme="minorHAnsi"/>
        </w:rPr>
        <w:t xml:space="preserve"> This Policy also prohibits retaliation for reporting or opposing discrimination or cooperating with an investigation of a discrimination complaint.</w:t>
      </w:r>
      <w:r w:rsidRPr="00A03FE1">
        <w:rPr>
          <w:rFonts w:asciiTheme="minorHAnsi" w:hAnsiTheme="minorHAnsi" w:cstheme="minorHAnsi"/>
        </w:rPr>
        <w:t xml:space="preserve"> </w:t>
      </w:r>
      <w:r w:rsidR="003D6646" w:rsidRPr="00A03FE1">
        <w:rPr>
          <w:rFonts w:asciiTheme="minorHAnsi" w:hAnsiTheme="minorHAnsi" w:cstheme="minorHAnsi"/>
        </w:rPr>
        <w:t xml:space="preserve">All CoC member agencies will operate with patience, respect, and transparency when handling allegations of discrimination. Upon program intake, all </w:t>
      </w:r>
      <w:r w:rsidR="007F7F04">
        <w:rPr>
          <w:rFonts w:asciiTheme="minorHAnsi" w:hAnsiTheme="minorHAnsi" w:cstheme="minorHAnsi"/>
        </w:rPr>
        <w:t>CoC affiliated organizations</w:t>
      </w:r>
      <w:r w:rsidR="003D6646" w:rsidRPr="00A03FE1">
        <w:rPr>
          <w:rFonts w:asciiTheme="minorHAnsi" w:hAnsiTheme="minorHAnsi" w:cstheme="minorHAnsi"/>
        </w:rPr>
        <w:t xml:space="preserve"> are responsible for advising program</w:t>
      </w:r>
      <w:r w:rsidRPr="00A03FE1">
        <w:rPr>
          <w:rFonts w:asciiTheme="minorHAnsi" w:hAnsiTheme="minorHAnsi" w:cstheme="minorHAnsi"/>
        </w:rPr>
        <w:t xml:space="preserve"> participants of their legal rights, including an explanation of this policy, </w:t>
      </w:r>
      <w:r w:rsidR="00407A79">
        <w:rPr>
          <w:rFonts w:asciiTheme="minorHAnsi" w:hAnsiTheme="minorHAnsi" w:cstheme="minorHAnsi"/>
        </w:rPr>
        <w:t xml:space="preserve">the </w:t>
      </w:r>
      <w:r w:rsidR="0056685C">
        <w:rPr>
          <w:rFonts w:asciiTheme="minorHAnsi" w:hAnsiTheme="minorHAnsi" w:cstheme="minorHAnsi"/>
        </w:rPr>
        <w:t xml:space="preserve">various ways that complaints can be filed </w:t>
      </w:r>
      <w:r w:rsidR="00D02FEB">
        <w:rPr>
          <w:rFonts w:asciiTheme="minorHAnsi" w:hAnsiTheme="minorHAnsi" w:cstheme="minorHAnsi"/>
        </w:rPr>
        <w:t>(</w:t>
      </w:r>
      <w:r w:rsidR="00272A6B">
        <w:rPr>
          <w:rFonts w:asciiTheme="minorHAnsi" w:hAnsiTheme="minorHAnsi" w:cstheme="minorHAnsi"/>
        </w:rPr>
        <w:t>e.g.,</w:t>
      </w:r>
      <w:r w:rsidR="00D02FEB">
        <w:rPr>
          <w:rFonts w:asciiTheme="minorHAnsi" w:hAnsiTheme="minorHAnsi" w:cstheme="minorHAnsi"/>
        </w:rPr>
        <w:t xml:space="preserve"> </w:t>
      </w:r>
      <w:r w:rsidR="008A25EA">
        <w:rPr>
          <w:rFonts w:asciiTheme="minorHAnsi" w:hAnsiTheme="minorHAnsi" w:cstheme="minorHAnsi"/>
        </w:rPr>
        <w:t>report</w:t>
      </w:r>
      <w:r w:rsidR="00765071">
        <w:rPr>
          <w:rFonts w:asciiTheme="minorHAnsi" w:hAnsiTheme="minorHAnsi" w:cstheme="minorHAnsi"/>
        </w:rPr>
        <w:t xml:space="preserve"> to program staff</w:t>
      </w:r>
      <w:r w:rsidR="006E2129">
        <w:rPr>
          <w:rFonts w:asciiTheme="minorHAnsi" w:hAnsiTheme="minorHAnsi" w:cstheme="minorHAnsi"/>
        </w:rPr>
        <w:t>, LIHS,</w:t>
      </w:r>
      <w:r w:rsidR="003C562C">
        <w:rPr>
          <w:rFonts w:asciiTheme="minorHAnsi" w:hAnsiTheme="minorHAnsi" w:cstheme="minorHAnsi"/>
        </w:rPr>
        <w:t xml:space="preserve"> local</w:t>
      </w:r>
      <w:r w:rsidR="006E2129">
        <w:rPr>
          <w:rFonts w:asciiTheme="minorHAnsi" w:hAnsiTheme="minorHAnsi" w:cstheme="minorHAnsi"/>
        </w:rPr>
        <w:t xml:space="preserve"> Division of Human Rights</w:t>
      </w:r>
      <w:r w:rsidR="00AF4A14">
        <w:rPr>
          <w:rFonts w:asciiTheme="minorHAnsi" w:hAnsiTheme="minorHAnsi" w:cstheme="minorHAnsi"/>
        </w:rPr>
        <w:t xml:space="preserve">, </w:t>
      </w:r>
      <w:r w:rsidR="003C562C">
        <w:rPr>
          <w:rFonts w:asciiTheme="minorHAnsi" w:hAnsiTheme="minorHAnsi" w:cstheme="minorHAnsi"/>
        </w:rPr>
        <w:t>etc.)</w:t>
      </w:r>
      <w:r w:rsidRPr="00A03FE1">
        <w:rPr>
          <w:rFonts w:asciiTheme="minorHAnsi" w:hAnsiTheme="minorHAnsi" w:cstheme="minorHAnsi"/>
        </w:rPr>
        <w:t xml:space="preserve"> and </w:t>
      </w:r>
      <w:r w:rsidRPr="00DD7150">
        <w:rPr>
          <w:rFonts w:asciiTheme="minorHAnsi" w:hAnsiTheme="minorHAnsi" w:cstheme="minorHAnsi"/>
        </w:rPr>
        <w:t xml:space="preserve">must be given the written policy and instructions </w:t>
      </w:r>
      <w:r w:rsidR="00D6624C" w:rsidRPr="00DD7150">
        <w:rPr>
          <w:rFonts w:asciiTheme="minorHAnsi" w:hAnsiTheme="minorHAnsi" w:cstheme="minorHAnsi"/>
        </w:rPr>
        <w:t>to</w:t>
      </w:r>
      <w:r w:rsidR="00D6624C" w:rsidRPr="00A03FE1">
        <w:rPr>
          <w:rFonts w:asciiTheme="minorHAnsi" w:hAnsiTheme="minorHAnsi" w:cstheme="minorHAnsi"/>
        </w:rPr>
        <w:t xml:space="preserve"> file a complaint </w:t>
      </w:r>
      <w:r w:rsidR="00E768A2" w:rsidRPr="00A03FE1">
        <w:rPr>
          <w:rFonts w:asciiTheme="minorHAnsi" w:hAnsiTheme="minorHAnsi" w:cstheme="minorHAnsi"/>
        </w:rPr>
        <w:t xml:space="preserve">with relevant federal, state, and local authorities, including, but not limited to: </w:t>
      </w:r>
    </w:p>
    <w:p w14:paraId="7DD2F4D7" w14:textId="77777777" w:rsidR="00E768A2" w:rsidRPr="00A03FE1" w:rsidRDefault="00E768A2" w:rsidP="00E768A2">
      <w:pPr>
        <w:rPr>
          <w:rFonts w:asciiTheme="minorHAnsi" w:hAnsiTheme="minorHAnsi" w:cstheme="minorHAnsi"/>
        </w:rPr>
      </w:pPr>
    </w:p>
    <w:p w14:paraId="2107CB27" w14:textId="77777777" w:rsidR="00E768A2" w:rsidRPr="00DD7150" w:rsidRDefault="00E768A2" w:rsidP="00E768A2">
      <w:pPr>
        <w:rPr>
          <w:rFonts w:asciiTheme="minorHAnsi" w:hAnsiTheme="minorHAnsi" w:cstheme="minorHAnsi"/>
        </w:rPr>
      </w:pPr>
      <w:r w:rsidRPr="00DD7150">
        <w:rPr>
          <w:rFonts w:asciiTheme="minorHAnsi" w:hAnsiTheme="minorHAnsi" w:cstheme="minorHAnsi"/>
          <w:b/>
          <w:bCs/>
        </w:rPr>
        <w:t xml:space="preserve">U.S. Department of Housing and Urban Development </w:t>
      </w:r>
      <w:r w:rsidRPr="00DD7150">
        <w:rPr>
          <w:rFonts w:asciiTheme="minorHAnsi" w:hAnsiTheme="minorHAnsi" w:cstheme="minorHAnsi"/>
          <w:b/>
          <w:bCs/>
        </w:rPr>
        <w:br/>
        <w:t>Fair Housing Enforcement Center</w:t>
      </w:r>
      <w:r w:rsidRPr="00DD7150">
        <w:rPr>
          <w:rFonts w:asciiTheme="minorHAnsi" w:hAnsiTheme="minorHAnsi" w:cstheme="minorHAnsi"/>
        </w:rPr>
        <w:t xml:space="preserve"> </w:t>
      </w:r>
      <w:r w:rsidRPr="00DD7150">
        <w:rPr>
          <w:rFonts w:asciiTheme="minorHAnsi" w:hAnsiTheme="minorHAnsi" w:cstheme="minorHAnsi"/>
        </w:rPr>
        <w:br/>
        <w:t xml:space="preserve">26 Federal Plaza, Room 3532 </w:t>
      </w:r>
      <w:r w:rsidRPr="00DD7150">
        <w:rPr>
          <w:rFonts w:asciiTheme="minorHAnsi" w:hAnsiTheme="minorHAnsi" w:cstheme="minorHAnsi"/>
        </w:rPr>
        <w:br/>
        <w:t xml:space="preserve">New York, NY 10278-0068 </w:t>
      </w:r>
      <w:r w:rsidRPr="00DD7150">
        <w:rPr>
          <w:rFonts w:asciiTheme="minorHAnsi" w:hAnsiTheme="minorHAnsi" w:cstheme="minorHAnsi"/>
        </w:rPr>
        <w:br/>
        <w:t>212-264-1290 (voice)  212-264-0927 (TTY)</w:t>
      </w:r>
      <w:r w:rsidRPr="00DD7150">
        <w:rPr>
          <w:rFonts w:asciiTheme="minorHAnsi" w:hAnsiTheme="minorHAnsi" w:cstheme="minorHAnsi"/>
        </w:rPr>
        <w:br/>
      </w:r>
      <w:hyperlink r:id="rId10" w:history="1">
        <w:r w:rsidRPr="00DD7150">
          <w:rPr>
            <w:rStyle w:val="Hyperlink"/>
            <w:rFonts w:asciiTheme="minorHAnsi" w:hAnsiTheme="minorHAnsi" w:cstheme="minorHAnsi"/>
          </w:rPr>
          <w:t>http://portal.hud.gov/hudportal/HUD?src=/program_offices/fair_housing_equal_opp/complaint-process</w:t>
        </w:r>
      </w:hyperlink>
    </w:p>
    <w:p w14:paraId="38DD80C9" w14:textId="77777777" w:rsidR="00427F0F" w:rsidRDefault="00427F0F" w:rsidP="00E768A2">
      <w:pPr>
        <w:rPr>
          <w:rFonts w:asciiTheme="minorHAnsi" w:hAnsiTheme="minorHAnsi" w:cstheme="minorHAnsi"/>
          <w:b/>
          <w:bCs/>
        </w:rPr>
      </w:pPr>
    </w:p>
    <w:p w14:paraId="43095223" w14:textId="7CD956A2" w:rsidR="00E768A2" w:rsidRPr="00DD7150" w:rsidRDefault="00E768A2" w:rsidP="00E768A2">
      <w:pPr>
        <w:rPr>
          <w:rFonts w:asciiTheme="minorHAnsi" w:hAnsiTheme="minorHAnsi" w:cstheme="minorHAnsi"/>
        </w:rPr>
      </w:pPr>
      <w:r w:rsidRPr="00DD7150">
        <w:rPr>
          <w:rFonts w:asciiTheme="minorHAnsi" w:hAnsiTheme="minorHAnsi" w:cstheme="minorHAnsi"/>
          <w:b/>
          <w:bCs/>
        </w:rPr>
        <w:t xml:space="preserve">New York State Office of the Attorney General </w:t>
      </w:r>
      <w:r w:rsidRPr="00DD7150">
        <w:rPr>
          <w:rFonts w:asciiTheme="minorHAnsi" w:hAnsiTheme="minorHAnsi" w:cstheme="minorHAnsi"/>
          <w:b/>
          <w:bCs/>
        </w:rPr>
        <w:br/>
        <w:t>Civil Rights Bureau</w:t>
      </w:r>
      <w:r w:rsidRPr="00DD7150">
        <w:rPr>
          <w:rFonts w:asciiTheme="minorHAnsi" w:hAnsiTheme="minorHAnsi" w:cstheme="minorHAnsi"/>
        </w:rPr>
        <w:t xml:space="preserve"> </w:t>
      </w:r>
      <w:r w:rsidRPr="00DD7150">
        <w:rPr>
          <w:rFonts w:asciiTheme="minorHAnsi" w:hAnsiTheme="minorHAnsi" w:cstheme="minorHAnsi"/>
        </w:rPr>
        <w:br/>
        <w:t xml:space="preserve">120 Broadway New York, New York 10271 </w:t>
      </w:r>
      <w:r w:rsidRPr="00DD7150">
        <w:rPr>
          <w:rFonts w:asciiTheme="minorHAnsi" w:hAnsiTheme="minorHAnsi" w:cstheme="minorHAnsi"/>
        </w:rPr>
        <w:br/>
        <w:t xml:space="preserve">212-416-8250 (voice)   800-788-9898 (TDD) </w:t>
      </w:r>
      <w:r w:rsidRPr="00DD7150">
        <w:rPr>
          <w:rFonts w:asciiTheme="minorHAnsi" w:hAnsiTheme="minorHAnsi" w:cstheme="minorHAnsi"/>
        </w:rPr>
        <w:br/>
      </w:r>
      <w:hyperlink r:id="rId11" w:history="1">
        <w:r w:rsidRPr="00DD7150">
          <w:rPr>
            <w:rStyle w:val="Hyperlink"/>
            <w:rFonts w:asciiTheme="minorHAnsi" w:hAnsiTheme="minorHAnsi" w:cstheme="minorHAnsi"/>
          </w:rPr>
          <w:t>civil.rights@ag.ny.gov</w:t>
        </w:r>
      </w:hyperlink>
      <w:r w:rsidRPr="00DD7150">
        <w:rPr>
          <w:rFonts w:asciiTheme="minorHAnsi" w:hAnsiTheme="minorHAnsi" w:cstheme="minorHAnsi"/>
        </w:rPr>
        <w:t xml:space="preserve">        </w:t>
      </w:r>
      <w:hyperlink r:id="rId12" w:history="1">
        <w:r w:rsidRPr="00DD7150">
          <w:rPr>
            <w:rStyle w:val="Hyperlink"/>
            <w:rFonts w:asciiTheme="minorHAnsi" w:hAnsiTheme="minorHAnsi" w:cstheme="minorHAnsi"/>
          </w:rPr>
          <w:t>www.ag.ny.gov</w:t>
        </w:r>
      </w:hyperlink>
    </w:p>
    <w:p w14:paraId="18407BC8" w14:textId="77777777" w:rsidR="00427F0F" w:rsidRDefault="00427F0F" w:rsidP="00E768A2">
      <w:pPr>
        <w:rPr>
          <w:rFonts w:asciiTheme="minorHAnsi" w:hAnsiTheme="minorHAnsi" w:cstheme="minorHAnsi"/>
          <w:b/>
          <w:bCs/>
        </w:rPr>
      </w:pPr>
    </w:p>
    <w:p w14:paraId="57A0E0AE" w14:textId="442D486E" w:rsidR="00E768A2" w:rsidRPr="00427F0F" w:rsidRDefault="00E768A2" w:rsidP="00E768A2">
      <w:pPr>
        <w:rPr>
          <w:rFonts w:asciiTheme="minorHAnsi" w:hAnsiTheme="minorHAnsi" w:cstheme="minorHAnsi"/>
        </w:rPr>
      </w:pPr>
      <w:r w:rsidRPr="00DD7150">
        <w:rPr>
          <w:rFonts w:asciiTheme="minorHAnsi" w:hAnsiTheme="minorHAnsi" w:cstheme="minorHAnsi"/>
          <w:b/>
          <w:bCs/>
        </w:rPr>
        <w:lastRenderedPageBreak/>
        <w:t>New York State Division of Human Rights</w:t>
      </w:r>
      <w:r w:rsidRPr="00DD7150">
        <w:rPr>
          <w:rFonts w:asciiTheme="minorHAnsi" w:hAnsiTheme="minorHAnsi" w:cstheme="minorHAnsi"/>
        </w:rPr>
        <w:t xml:space="preserve"> </w:t>
      </w:r>
      <w:r w:rsidRPr="00DD7150">
        <w:rPr>
          <w:rFonts w:asciiTheme="minorHAnsi" w:hAnsiTheme="minorHAnsi" w:cstheme="minorHAnsi"/>
        </w:rPr>
        <w:br/>
        <w:t xml:space="preserve">One Fordham Plaza, 4th Floor Bronx, New York 10458 </w:t>
      </w:r>
      <w:r w:rsidRPr="00A03FE1">
        <w:rPr>
          <w:rFonts w:asciiTheme="minorHAnsi" w:hAnsiTheme="minorHAnsi" w:cstheme="minorHAnsi"/>
          <w:highlight w:val="lightGray"/>
        </w:rPr>
        <w:br/>
      </w:r>
      <w:r w:rsidRPr="00427F0F">
        <w:rPr>
          <w:rFonts w:asciiTheme="minorHAnsi" w:hAnsiTheme="minorHAnsi" w:cstheme="minorHAnsi"/>
        </w:rPr>
        <w:t xml:space="preserve">718-741-8300 (voice) 718-741-8300 (TDD) </w:t>
      </w:r>
      <w:r w:rsidRPr="00427F0F">
        <w:rPr>
          <w:rFonts w:asciiTheme="minorHAnsi" w:hAnsiTheme="minorHAnsi" w:cstheme="minorHAnsi"/>
        </w:rPr>
        <w:br/>
      </w:r>
      <w:hyperlink r:id="rId13" w:history="1">
        <w:r w:rsidRPr="00427F0F">
          <w:rPr>
            <w:rStyle w:val="Hyperlink"/>
            <w:rFonts w:asciiTheme="minorHAnsi" w:hAnsiTheme="minorHAnsi" w:cstheme="minorHAnsi"/>
            <w:color w:val="0070C0"/>
          </w:rPr>
          <w:t>www.dhr.state.ny.us</w:t>
        </w:r>
      </w:hyperlink>
    </w:p>
    <w:p w14:paraId="2FEA836D" w14:textId="77777777" w:rsidR="00222F7E" w:rsidRPr="00427F0F" w:rsidRDefault="00E768A2" w:rsidP="00E768A2">
      <w:pPr>
        <w:rPr>
          <w:rFonts w:asciiTheme="minorHAnsi" w:hAnsiTheme="minorHAnsi" w:cstheme="minorHAnsi"/>
        </w:rPr>
      </w:pPr>
      <w:r w:rsidRPr="00427F0F">
        <w:rPr>
          <w:rFonts w:asciiTheme="minorHAnsi" w:hAnsiTheme="minorHAnsi" w:cstheme="minorHAnsi"/>
        </w:rPr>
        <w:t>                                               </w:t>
      </w:r>
    </w:p>
    <w:p w14:paraId="738A9D5E" w14:textId="0CD90F81" w:rsidR="004747D3" w:rsidRPr="00427F0F" w:rsidRDefault="004747D3" w:rsidP="00E768A2">
      <w:pPr>
        <w:rPr>
          <w:rFonts w:asciiTheme="minorHAnsi" w:hAnsiTheme="minorHAnsi" w:cstheme="minorHAnsi"/>
          <w:b/>
          <w:bCs/>
        </w:rPr>
      </w:pPr>
      <w:r w:rsidRPr="00427F0F">
        <w:rPr>
          <w:rFonts w:asciiTheme="minorHAnsi" w:hAnsiTheme="minorHAnsi" w:cstheme="minorHAnsi"/>
          <w:b/>
          <w:bCs/>
        </w:rPr>
        <w:t>Nassau County Human Rights Commission</w:t>
      </w:r>
    </w:p>
    <w:p w14:paraId="2146A204" w14:textId="1935C8C2" w:rsidR="004D6166" w:rsidRPr="00427F0F" w:rsidRDefault="004D6166" w:rsidP="00E768A2">
      <w:pPr>
        <w:rPr>
          <w:rFonts w:asciiTheme="minorHAnsi" w:hAnsiTheme="minorHAnsi" w:cstheme="minorHAnsi"/>
          <w:shd w:val="clear" w:color="auto" w:fill="FFFFFF"/>
        </w:rPr>
      </w:pPr>
      <w:r w:rsidRPr="00427F0F">
        <w:rPr>
          <w:rFonts w:asciiTheme="minorHAnsi" w:hAnsiTheme="minorHAnsi" w:cstheme="minorHAnsi"/>
          <w:shd w:val="clear" w:color="auto" w:fill="FFFFFF"/>
        </w:rPr>
        <w:t>240 Old Country Road</w:t>
      </w:r>
      <w:r w:rsidRPr="00427F0F">
        <w:rPr>
          <w:rFonts w:asciiTheme="minorHAnsi" w:hAnsiTheme="minorHAnsi" w:cstheme="minorHAnsi"/>
        </w:rPr>
        <w:t xml:space="preserve">, </w:t>
      </w:r>
      <w:r w:rsidRPr="00427F0F">
        <w:rPr>
          <w:rFonts w:asciiTheme="minorHAnsi" w:hAnsiTheme="minorHAnsi" w:cstheme="minorHAnsi"/>
          <w:shd w:val="clear" w:color="auto" w:fill="FFFFFF"/>
        </w:rPr>
        <w:t>6th floor, Suite 606</w:t>
      </w:r>
      <w:r w:rsidRPr="00427F0F">
        <w:rPr>
          <w:rFonts w:asciiTheme="minorHAnsi" w:hAnsiTheme="minorHAnsi" w:cstheme="minorHAnsi"/>
        </w:rPr>
        <w:t xml:space="preserve">, </w:t>
      </w:r>
      <w:r w:rsidRPr="00427F0F">
        <w:rPr>
          <w:rFonts w:asciiTheme="minorHAnsi" w:hAnsiTheme="minorHAnsi" w:cstheme="minorHAnsi"/>
          <w:shd w:val="clear" w:color="auto" w:fill="FFFFFF"/>
        </w:rPr>
        <w:t>Mineola, NY 11501</w:t>
      </w:r>
    </w:p>
    <w:p w14:paraId="7C016C95" w14:textId="33A48019" w:rsidR="00171319" w:rsidRPr="00427F0F" w:rsidRDefault="00171319" w:rsidP="00E768A2">
      <w:pPr>
        <w:rPr>
          <w:rStyle w:val="Strong"/>
          <w:rFonts w:asciiTheme="minorHAnsi" w:hAnsiTheme="minorHAnsi" w:cstheme="minorHAnsi"/>
          <w:b w:val="0"/>
          <w:bCs w:val="0"/>
          <w:shd w:val="clear" w:color="auto" w:fill="FFFFFF"/>
        </w:rPr>
      </w:pPr>
      <w:r w:rsidRPr="00427F0F">
        <w:rPr>
          <w:rStyle w:val="Strong"/>
          <w:rFonts w:asciiTheme="minorHAnsi" w:hAnsiTheme="minorHAnsi" w:cstheme="minorHAnsi"/>
          <w:b w:val="0"/>
          <w:bCs w:val="0"/>
          <w:shd w:val="clear" w:color="auto" w:fill="FFFFFF"/>
        </w:rPr>
        <w:t>(516) 573-7360</w:t>
      </w:r>
    </w:p>
    <w:p w14:paraId="41FF3259" w14:textId="28A42964" w:rsidR="00171319" w:rsidRPr="00427F0F" w:rsidRDefault="00000000" w:rsidP="00E768A2">
      <w:pPr>
        <w:rPr>
          <w:rFonts w:asciiTheme="minorHAnsi" w:hAnsiTheme="minorHAnsi" w:cstheme="minorHAnsi"/>
          <w:color w:val="0070C0"/>
          <w:shd w:val="clear" w:color="auto" w:fill="FFFFFF"/>
        </w:rPr>
      </w:pPr>
      <w:hyperlink r:id="rId14" w:history="1">
        <w:r w:rsidR="00171319" w:rsidRPr="00427F0F">
          <w:rPr>
            <w:rStyle w:val="Hyperlink"/>
            <w:rFonts w:asciiTheme="minorHAnsi" w:hAnsiTheme="minorHAnsi" w:cstheme="minorHAnsi"/>
            <w:color w:val="0070C0"/>
            <w:shd w:val="clear" w:color="auto" w:fill="FFFFFF"/>
          </w:rPr>
          <w:t>https://www.nassaucountyny.gov/414/Human-Rights-Commission</w:t>
        </w:r>
      </w:hyperlink>
    </w:p>
    <w:p w14:paraId="425AD489" w14:textId="77777777" w:rsidR="004747D3" w:rsidRPr="00427F0F" w:rsidRDefault="004747D3" w:rsidP="00E768A2">
      <w:pPr>
        <w:rPr>
          <w:rFonts w:asciiTheme="minorHAnsi" w:hAnsiTheme="minorHAnsi" w:cstheme="minorHAnsi"/>
        </w:rPr>
      </w:pPr>
    </w:p>
    <w:p w14:paraId="36E30117" w14:textId="6D1E66CE" w:rsidR="00FF6037" w:rsidRPr="00427F0F" w:rsidRDefault="00FF6037" w:rsidP="00E768A2">
      <w:pPr>
        <w:rPr>
          <w:rFonts w:asciiTheme="minorHAnsi" w:hAnsiTheme="minorHAnsi" w:cstheme="minorHAnsi"/>
          <w:b/>
          <w:bCs/>
        </w:rPr>
      </w:pPr>
      <w:r w:rsidRPr="00427F0F">
        <w:rPr>
          <w:rFonts w:asciiTheme="minorHAnsi" w:hAnsiTheme="minorHAnsi" w:cstheme="minorHAnsi"/>
          <w:b/>
          <w:bCs/>
        </w:rPr>
        <w:t>Suffolk County Human Rights Commission</w:t>
      </w:r>
    </w:p>
    <w:p w14:paraId="4A08EADC" w14:textId="77777777" w:rsidR="007A6A17" w:rsidRPr="00427F0F" w:rsidRDefault="00000000" w:rsidP="007A6A17">
      <w:pPr>
        <w:pStyle w:val="font8"/>
        <w:spacing w:before="0" w:beforeAutospacing="0" w:after="0" w:afterAutospacing="0"/>
        <w:textAlignment w:val="baseline"/>
        <w:rPr>
          <w:rFonts w:asciiTheme="minorHAnsi" w:hAnsiTheme="minorHAnsi" w:cstheme="minorHAnsi"/>
          <w:sz w:val="22"/>
          <w:szCs w:val="22"/>
        </w:rPr>
      </w:pPr>
      <w:hyperlink r:id="rId15" w:history="1">
        <w:r w:rsidR="007A6A17" w:rsidRPr="00427F0F">
          <w:rPr>
            <w:rStyle w:val="Hyperlink"/>
            <w:rFonts w:asciiTheme="minorHAnsi" w:hAnsiTheme="minorHAnsi" w:cstheme="minorHAnsi"/>
            <w:color w:val="auto"/>
            <w:sz w:val="22"/>
            <w:szCs w:val="22"/>
            <w:u w:val="none"/>
            <w:bdr w:val="none" w:sz="0" w:space="0" w:color="auto" w:frame="1"/>
          </w:rPr>
          <w:t>631-853-5480</w:t>
        </w:r>
      </w:hyperlink>
    </w:p>
    <w:p w14:paraId="6CBA7F40" w14:textId="7D9DACF4" w:rsidR="00FF6037" w:rsidRPr="00427F0F" w:rsidRDefault="00000000" w:rsidP="001A44E9">
      <w:pPr>
        <w:pStyle w:val="font8"/>
        <w:spacing w:before="0" w:beforeAutospacing="0" w:after="0" w:afterAutospacing="0"/>
        <w:textAlignment w:val="baseline"/>
        <w:rPr>
          <w:rFonts w:asciiTheme="minorHAnsi" w:hAnsiTheme="minorHAnsi" w:cstheme="minorHAnsi"/>
          <w:color w:val="0070C0"/>
          <w:sz w:val="22"/>
          <w:szCs w:val="22"/>
        </w:rPr>
      </w:pPr>
      <w:hyperlink r:id="rId16" w:tgtFrame="_self" w:history="1">
        <w:r w:rsidR="007A6A17" w:rsidRPr="00427F0F">
          <w:rPr>
            <w:rStyle w:val="Hyperlink"/>
            <w:rFonts w:asciiTheme="minorHAnsi" w:hAnsiTheme="minorHAnsi" w:cstheme="minorHAnsi"/>
            <w:color w:val="0070C0"/>
            <w:sz w:val="22"/>
            <w:szCs w:val="22"/>
            <w:bdr w:val="none" w:sz="0" w:space="0" w:color="auto" w:frame="1"/>
          </w:rPr>
          <w:t>humanrights@suffolkcountyny.gov</w:t>
        </w:r>
      </w:hyperlink>
    </w:p>
    <w:p w14:paraId="23C35FC4" w14:textId="77777777" w:rsidR="007A6A17" w:rsidRPr="00427F0F" w:rsidRDefault="007A6A17" w:rsidP="00E768A2">
      <w:pPr>
        <w:rPr>
          <w:rFonts w:asciiTheme="minorHAnsi" w:hAnsiTheme="minorHAnsi" w:cstheme="minorHAnsi"/>
        </w:rPr>
      </w:pPr>
    </w:p>
    <w:p w14:paraId="35A0FA26" w14:textId="408B163E" w:rsidR="00DB3826" w:rsidRPr="00427F0F" w:rsidRDefault="00222F7E" w:rsidP="00E768A2">
      <w:pPr>
        <w:rPr>
          <w:rFonts w:asciiTheme="minorHAnsi" w:hAnsiTheme="minorHAnsi" w:cstheme="minorHAnsi"/>
          <w:b/>
          <w:bCs/>
        </w:rPr>
      </w:pPr>
      <w:r w:rsidRPr="00427F0F">
        <w:rPr>
          <w:rFonts w:asciiTheme="minorHAnsi" w:hAnsiTheme="minorHAnsi" w:cstheme="minorHAnsi"/>
          <w:b/>
          <w:bCs/>
        </w:rPr>
        <w:t xml:space="preserve">Long Island Housing </w:t>
      </w:r>
      <w:r w:rsidR="00FF6037" w:rsidRPr="00427F0F">
        <w:rPr>
          <w:rFonts w:asciiTheme="minorHAnsi" w:hAnsiTheme="minorHAnsi" w:cstheme="minorHAnsi"/>
          <w:b/>
          <w:bCs/>
        </w:rPr>
        <w:t>Services</w:t>
      </w:r>
      <w:r w:rsidRPr="00427F0F">
        <w:rPr>
          <w:rFonts w:asciiTheme="minorHAnsi" w:hAnsiTheme="minorHAnsi" w:cstheme="minorHAnsi"/>
          <w:b/>
          <w:bCs/>
        </w:rPr>
        <w:t xml:space="preserve"> </w:t>
      </w:r>
    </w:p>
    <w:p w14:paraId="315BA618" w14:textId="064FF8AD" w:rsidR="00AF3A27" w:rsidRPr="00427F0F" w:rsidRDefault="00000000" w:rsidP="00AF3A27">
      <w:pPr>
        <w:pStyle w:val="font8"/>
        <w:spacing w:before="0" w:beforeAutospacing="0" w:after="0" w:afterAutospacing="0"/>
        <w:textAlignment w:val="baseline"/>
        <w:rPr>
          <w:rFonts w:asciiTheme="minorHAnsi" w:hAnsiTheme="minorHAnsi" w:cstheme="minorHAnsi"/>
          <w:sz w:val="22"/>
          <w:szCs w:val="22"/>
        </w:rPr>
      </w:pPr>
      <w:hyperlink r:id="rId17" w:history="1">
        <w:r w:rsidR="00AF3A27" w:rsidRPr="00427F0F">
          <w:rPr>
            <w:rStyle w:val="Hyperlink"/>
            <w:rFonts w:asciiTheme="minorHAnsi" w:hAnsiTheme="minorHAnsi" w:cstheme="minorHAnsi"/>
            <w:color w:val="auto"/>
            <w:sz w:val="22"/>
            <w:szCs w:val="22"/>
            <w:u w:val="none"/>
            <w:bdr w:val="none" w:sz="0" w:space="0" w:color="auto" w:frame="1"/>
          </w:rPr>
          <w:t>631-567-5111</w:t>
        </w:r>
      </w:hyperlink>
      <w:r w:rsidR="00AF3A27" w:rsidRPr="00427F0F">
        <w:rPr>
          <w:rStyle w:val="color11"/>
          <w:rFonts w:asciiTheme="minorHAnsi" w:hAnsiTheme="minorHAnsi" w:cstheme="minorHAnsi"/>
          <w:sz w:val="22"/>
          <w:szCs w:val="22"/>
          <w:bdr w:val="none" w:sz="0" w:space="0" w:color="auto" w:frame="1"/>
        </w:rPr>
        <w:t> </w:t>
      </w:r>
    </w:p>
    <w:p w14:paraId="50039E15" w14:textId="77777777" w:rsidR="00D32498" w:rsidRPr="00427F0F" w:rsidRDefault="00000000" w:rsidP="00AF3A27">
      <w:pPr>
        <w:pStyle w:val="font8"/>
        <w:spacing w:before="0" w:beforeAutospacing="0" w:after="0" w:afterAutospacing="0"/>
        <w:textAlignment w:val="baseline"/>
        <w:rPr>
          <w:rFonts w:asciiTheme="minorHAnsi" w:hAnsiTheme="minorHAnsi" w:cstheme="minorHAnsi"/>
          <w:color w:val="0070C0"/>
          <w:sz w:val="22"/>
          <w:szCs w:val="22"/>
        </w:rPr>
      </w:pPr>
      <w:hyperlink r:id="rId18" w:history="1">
        <w:r w:rsidR="00D32498" w:rsidRPr="00427F0F">
          <w:rPr>
            <w:rStyle w:val="Hyperlink"/>
            <w:rFonts w:asciiTheme="minorHAnsi" w:hAnsiTheme="minorHAnsi" w:cstheme="minorHAnsi"/>
            <w:color w:val="0070C0"/>
            <w:sz w:val="22"/>
            <w:szCs w:val="22"/>
            <w:shd w:val="clear" w:color="auto" w:fill="F2F2F2"/>
          </w:rPr>
          <w:t>info@lifairhousing.org</w:t>
        </w:r>
      </w:hyperlink>
    </w:p>
    <w:p w14:paraId="6C8A47EB" w14:textId="5E251781" w:rsidR="000F0B45" w:rsidRPr="00427F0F" w:rsidRDefault="00000000" w:rsidP="00AF3A27">
      <w:pPr>
        <w:pStyle w:val="font8"/>
        <w:spacing w:before="0" w:beforeAutospacing="0" w:after="0" w:afterAutospacing="0"/>
        <w:textAlignment w:val="baseline"/>
        <w:rPr>
          <w:rFonts w:asciiTheme="minorHAnsi" w:hAnsiTheme="minorHAnsi" w:cstheme="minorHAnsi"/>
          <w:color w:val="0070C0"/>
          <w:sz w:val="22"/>
          <w:szCs w:val="22"/>
        </w:rPr>
      </w:pPr>
      <w:hyperlink r:id="rId19" w:history="1">
        <w:r w:rsidR="000F0B45" w:rsidRPr="00427F0F">
          <w:rPr>
            <w:rStyle w:val="Hyperlink"/>
            <w:rFonts w:asciiTheme="minorHAnsi" w:hAnsiTheme="minorHAnsi" w:cstheme="minorHAnsi"/>
            <w:color w:val="0070C0"/>
            <w:sz w:val="22"/>
            <w:szCs w:val="22"/>
          </w:rPr>
          <w:t>https://www.lifairhousing.org/</w:t>
        </w:r>
      </w:hyperlink>
    </w:p>
    <w:p w14:paraId="5EDCCFB9" w14:textId="12B172B1" w:rsidR="00023581" w:rsidRDefault="00023581" w:rsidP="00AF3A27">
      <w:pPr>
        <w:pStyle w:val="font8"/>
        <w:spacing w:before="0" w:beforeAutospacing="0" w:after="0" w:afterAutospacing="0"/>
        <w:textAlignment w:val="baseline"/>
        <w:rPr>
          <w:sz w:val="26"/>
          <w:szCs w:val="26"/>
        </w:rPr>
      </w:pPr>
    </w:p>
    <w:p w14:paraId="165CD79D" w14:textId="77777777" w:rsidR="00023581" w:rsidRDefault="00023581" w:rsidP="00023581">
      <w:pPr>
        <w:jc w:val="center"/>
        <w:rPr>
          <w:rFonts w:asciiTheme="minorHAnsi" w:hAnsiTheme="minorHAnsi" w:cstheme="minorHAnsi"/>
          <w:b/>
          <w:bCs/>
        </w:rPr>
      </w:pPr>
      <w:r>
        <w:rPr>
          <w:rFonts w:asciiTheme="minorHAnsi" w:hAnsiTheme="minorHAnsi" w:cstheme="minorHAnsi"/>
          <w:b/>
          <w:bCs/>
        </w:rPr>
        <w:t>Trainings Available to CoC</w:t>
      </w:r>
    </w:p>
    <w:p w14:paraId="38F936A8" w14:textId="77777777" w:rsidR="00023581" w:rsidRDefault="00023581" w:rsidP="00023581">
      <w:pPr>
        <w:jc w:val="center"/>
        <w:rPr>
          <w:rFonts w:asciiTheme="minorHAnsi" w:hAnsiTheme="minorHAnsi" w:cstheme="minorHAnsi"/>
          <w:b/>
          <w:bCs/>
        </w:rPr>
      </w:pPr>
    </w:p>
    <w:p w14:paraId="1B3DC954" w14:textId="51ED7823" w:rsidR="00F7727A" w:rsidRPr="00A70124" w:rsidRDefault="00F7727A" w:rsidP="00F7727A">
      <w:pPr>
        <w:rPr>
          <w:rFonts w:asciiTheme="minorHAnsi" w:hAnsiTheme="minorHAnsi" w:cstheme="minorHAnsi"/>
        </w:rPr>
      </w:pPr>
      <w:r w:rsidRPr="00A70124">
        <w:rPr>
          <w:rFonts w:asciiTheme="minorHAnsi" w:hAnsiTheme="minorHAnsi" w:cstheme="minorHAnsi"/>
        </w:rPr>
        <w:t>The following trainings are available to CoC affiliated organizations to assist providers in their application of the above stated policies</w:t>
      </w:r>
      <w:r w:rsidR="00FA5D7F" w:rsidRPr="00A70124">
        <w:rPr>
          <w:rFonts w:asciiTheme="minorHAnsi" w:hAnsiTheme="minorHAnsi" w:cstheme="minorHAnsi"/>
        </w:rPr>
        <w:t xml:space="preserve"> and </w:t>
      </w:r>
      <w:r w:rsidR="00A70124" w:rsidRPr="00A70124">
        <w:rPr>
          <w:rFonts w:asciiTheme="minorHAnsi" w:hAnsiTheme="minorHAnsi" w:cstheme="minorHAnsi"/>
        </w:rPr>
        <w:t>further racial equity</w:t>
      </w:r>
      <w:r w:rsidRPr="00A70124">
        <w:rPr>
          <w:rFonts w:asciiTheme="minorHAnsi" w:hAnsiTheme="minorHAnsi" w:cstheme="minorHAnsi"/>
        </w:rPr>
        <w:t>:</w:t>
      </w:r>
    </w:p>
    <w:p w14:paraId="6955BE5D" w14:textId="77777777" w:rsidR="00F7727A" w:rsidRDefault="00F7727A" w:rsidP="00F7727A">
      <w:pPr>
        <w:rPr>
          <w:rFonts w:asciiTheme="minorHAnsi" w:hAnsiTheme="minorHAnsi" w:cstheme="minorHAnsi"/>
          <w:b/>
          <w:bCs/>
        </w:rPr>
      </w:pPr>
    </w:p>
    <w:p w14:paraId="0C496BAB" w14:textId="77777777" w:rsidR="00A70124" w:rsidRPr="00A70124" w:rsidRDefault="00A7012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EAR/Housing Discrimination</w:t>
      </w:r>
    </w:p>
    <w:p w14:paraId="1A38B376" w14:textId="78108422" w:rsidR="00A70124" w:rsidRPr="00A70124" w:rsidRDefault="00A7012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Anti-Discrimination / LBGT / Gender Identity</w:t>
      </w:r>
    </w:p>
    <w:p w14:paraId="600FEF52" w14:textId="48A26CE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DEI Training Series</w:t>
      </w:r>
    </w:p>
    <w:p w14:paraId="16418D17"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Power sharing, power analysis and decision-making</w:t>
      </w:r>
    </w:p>
    <w:p w14:paraId="507ED833"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Facilitating the creation of a racial equity statement</w:t>
      </w:r>
    </w:p>
    <w:p w14:paraId="349C1DFC"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Setting the CoC’s goals mission, goals</w:t>
      </w:r>
      <w:r w:rsidR="00F7727A" w:rsidRPr="00A70124">
        <w:rPr>
          <w:rFonts w:asciiTheme="minorHAnsi" w:hAnsiTheme="minorHAnsi" w:cstheme="minorHAnsi"/>
          <w:sz w:val="22"/>
          <w:szCs w:val="22"/>
        </w:rPr>
        <w:t>,</w:t>
      </w:r>
      <w:r w:rsidRPr="00A70124">
        <w:rPr>
          <w:rFonts w:asciiTheme="minorHAnsi" w:hAnsiTheme="minorHAnsi" w:cstheme="minorHAnsi"/>
          <w:sz w:val="22"/>
          <w:szCs w:val="22"/>
        </w:rPr>
        <w:t xml:space="preserve"> and values for racial equity</w:t>
      </w:r>
    </w:p>
    <w:p w14:paraId="3E37C308" w14:textId="77777777" w:rsidR="00A70124" w:rsidRPr="00A7012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Action planning using the Theory of Change framework</w:t>
      </w:r>
    </w:p>
    <w:p w14:paraId="04D0B8ED" w14:textId="2F251F8A" w:rsidR="00C93B84" w:rsidRDefault="00C93B84" w:rsidP="00A70124">
      <w:pPr>
        <w:pStyle w:val="ListParagraph"/>
        <w:numPr>
          <w:ilvl w:val="0"/>
          <w:numId w:val="10"/>
        </w:numPr>
        <w:rPr>
          <w:rFonts w:asciiTheme="minorHAnsi" w:hAnsiTheme="minorHAnsi" w:cstheme="minorHAnsi"/>
          <w:sz w:val="22"/>
          <w:szCs w:val="22"/>
        </w:rPr>
      </w:pPr>
      <w:r w:rsidRPr="00A70124">
        <w:rPr>
          <w:rFonts w:asciiTheme="minorHAnsi" w:hAnsiTheme="minorHAnsi" w:cstheme="minorHAnsi"/>
          <w:sz w:val="22"/>
          <w:szCs w:val="22"/>
        </w:rPr>
        <w:t>Centering people with lived experience within the governance structure and creating inclusive, empowering environments to promote retention and growth of members.</w:t>
      </w:r>
    </w:p>
    <w:p w14:paraId="1687400E" w14:textId="77777777" w:rsidR="00CA19ED" w:rsidRDefault="00CA19ED" w:rsidP="00CA19ED">
      <w:pPr>
        <w:rPr>
          <w:rFonts w:asciiTheme="minorHAnsi" w:hAnsiTheme="minorHAnsi" w:cstheme="minorHAnsi"/>
        </w:rPr>
      </w:pPr>
    </w:p>
    <w:p w14:paraId="3F91571C" w14:textId="2252AA8F" w:rsidR="00CA19ED" w:rsidRPr="00CD53F5" w:rsidRDefault="00CD53F5" w:rsidP="00CA19ED">
      <w:pPr>
        <w:jc w:val="center"/>
        <w:rPr>
          <w:rFonts w:asciiTheme="minorHAnsi" w:hAnsiTheme="minorHAnsi" w:cstheme="minorHAnsi"/>
          <w:b/>
          <w:bCs/>
        </w:rPr>
      </w:pPr>
      <w:r>
        <w:rPr>
          <w:rFonts w:asciiTheme="minorHAnsi" w:hAnsiTheme="minorHAnsi" w:cstheme="minorHAnsi"/>
          <w:b/>
          <w:bCs/>
        </w:rPr>
        <w:t>Resources for Further Information</w:t>
      </w:r>
    </w:p>
    <w:p w14:paraId="6DCE2FE0" w14:textId="77777777" w:rsidR="00CA19ED" w:rsidRDefault="00CA19ED" w:rsidP="00E9356F">
      <w:pPr>
        <w:rPr>
          <w:rFonts w:asciiTheme="minorHAnsi" w:hAnsiTheme="minorHAnsi" w:cstheme="minorHAnsi"/>
        </w:rPr>
      </w:pPr>
    </w:p>
    <w:p w14:paraId="598D4A5A" w14:textId="10C1701F" w:rsidR="00CD53F5" w:rsidRDefault="00E9356F" w:rsidP="00E9356F">
      <w:pPr>
        <w:rPr>
          <w:rFonts w:asciiTheme="minorHAnsi" w:hAnsiTheme="minorHAnsi" w:cstheme="minorHAnsi"/>
        </w:rPr>
      </w:pPr>
      <w:r>
        <w:rPr>
          <w:rFonts w:asciiTheme="minorHAnsi" w:hAnsiTheme="minorHAnsi" w:cstheme="minorHAnsi"/>
        </w:rPr>
        <w:t xml:space="preserve">For further guidance on this anti-discrimination policy and other CoC policies, visit: </w:t>
      </w:r>
      <w:hyperlink r:id="rId20" w:history="1">
        <w:r w:rsidRPr="00E76BD7">
          <w:rPr>
            <w:rStyle w:val="Hyperlink"/>
            <w:rFonts w:asciiTheme="minorHAnsi" w:hAnsiTheme="minorHAnsi" w:cstheme="minorHAnsi"/>
          </w:rPr>
          <w:t>https://www.lihomeless.org/coc-policies-standards</w:t>
        </w:r>
      </w:hyperlink>
    </w:p>
    <w:p w14:paraId="349713F5" w14:textId="156E5505" w:rsidR="00CD53F5" w:rsidRDefault="00CD53F5" w:rsidP="00E9356F">
      <w:pPr>
        <w:rPr>
          <w:rFonts w:asciiTheme="minorHAnsi" w:hAnsiTheme="minorHAnsi" w:cstheme="minorHAnsi"/>
        </w:rPr>
      </w:pPr>
      <w:r>
        <w:rPr>
          <w:rFonts w:asciiTheme="minorHAnsi" w:hAnsiTheme="minorHAnsi" w:cstheme="minorHAnsi"/>
        </w:rPr>
        <w:t>ERASE Racism:</w:t>
      </w:r>
      <w:r w:rsidR="007F5B7E">
        <w:rPr>
          <w:rFonts w:asciiTheme="minorHAnsi" w:hAnsiTheme="minorHAnsi" w:cstheme="minorHAnsi"/>
        </w:rPr>
        <w:t xml:space="preserve"> </w:t>
      </w:r>
      <w:hyperlink r:id="rId21" w:history="1">
        <w:r w:rsidR="007F5B7E" w:rsidRPr="00E76BD7">
          <w:rPr>
            <w:rStyle w:val="Hyperlink"/>
            <w:rFonts w:asciiTheme="minorHAnsi" w:hAnsiTheme="minorHAnsi" w:cstheme="minorHAnsi"/>
          </w:rPr>
          <w:t>https://www.eraseracismny.org/</w:t>
        </w:r>
      </w:hyperlink>
    </w:p>
    <w:p w14:paraId="26E152E5" w14:textId="16EC4E06" w:rsidR="00CD53F5" w:rsidRDefault="00CD53F5" w:rsidP="00E9356F">
      <w:pPr>
        <w:rPr>
          <w:rFonts w:asciiTheme="minorHAnsi" w:hAnsiTheme="minorHAnsi" w:cstheme="minorHAnsi"/>
        </w:rPr>
      </w:pPr>
      <w:r>
        <w:rPr>
          <w:rFonts w:asciiTheme="minorHAnsi" w:hAnsiTheme="minorHAnsi" w:cstheme="minorHAnsi"/>
        </w:rPr>
        <w:t xml:space="preserve">Long Island Housing Services: </w:t>
      </w:r>
      <w:hyperlink r:id="rId22" w:history="1">
        <w:r w:rsidR="007F5B7E" w:rsidRPr="00E76BD7">
          <w:rPr>
            <w:rStyle w:val="Hyperlink"/>
            <w:rFonts w:asciiTheme="minorHAnsi" w:hAnsiTheme="minorHAnsi" w:cstheme="minorHAnsi"/>
          </w:rPr>
          <w:t>https://www.lifairhousing.org/</w:t>
        </w:r>
      </w:hyperlink>
    </w:p>
    <w:p w14:paraId="44106276" w14:textId="77777777" w:rsidR="007F5B7E" w:rsidRDefault="007F5B7E" w:rsidP="00E768A2">
      <w:pPr>
        <w:rPr>
          <w:rFonts w:asciiTheme="minorHAnsi" w:hAnsiTheme="minorHAnsi" w:cstheme="minorHAnsi"/>
        </w:rPr>
      </w:pPr>
    </w:p>
    <w:p w14:paraId="25EDFCAF" w14:textId="77777777" w:rsidR="007F5B7E" w:rsidRDefault="007F5B7E" w:rsidP="00E768A2">
      <w:pPr>
        <w:rPr>
          <w:rFonts w:asciiTheme="minorHAnsi" w:hAnsiTheme="minorHAnsi" w:cstheme="minorHAnsi"/>
        </w:rPr>
      </w:pPr>
    </w:p>
    <w:p w14:paraId="428C0840" w14:textId="77777777" w:rsidR="007F5B7E" w:rsidRDefault="007F5B7E" w:rsidP="00E768A2">
      <w:pPr>
        <w:rPr>
          <w:rFonts w:asciiTheme="minorHAnsi" w:hAnsiTheme="minorHAnsi" w:cstheme="minorHAnsi"/>
        </w:rPr>
      </w:pPr>
    </w:p>
    <w:p w14:paraId="61CECDE7" w14:textId="77777777" w:rsidR="007F5B7E" w:rsidRDefault="007F5B7E" w:rsidP="00E768A2">
      <w:pPr>
        <w:rPr>
          <w:rFonts w:asciiTheme="minorHAnsi" w:hAnsiTheme="minorHAnsi" w:cstheme="minorHAnsi"/>
        </w:rPr>
      </w:pPr>
    </w:p>
    <w:p w14:paraId="7719E27C" w14:textId="77777777" w:rsidR="007F5B7E" w:rsidRDefault="007F5B7E" w:rsidP="00E768A2">
      <w:pPr>
        <w:rPr>
          <w:rFonts w:asciiTheme="minorHAnsi" w:hAnsiTheme="minorHAnsi" w:cstheme="minorHAnsi"/>
        </w:rPr>
      </w:pPr>
    </w:p>
    <w:p w14:paraId="51D8567D" w14:textId="55BE0D87" w:rsidR="00E768A2" w:rsidRPr="00A03FE1" w:rsidRDefault="00E768A2" w:rsidP="00E768A2">
      <w:pPr>
        <w:rPr>
          <w:rFonts w:asciiTheme="minorHAnsi" w:hAnsiTheme="minorHAnsi" w:cstheme="minorHAnsi"/>
        </w:rPr>
      </w:pPr>
      <w:r w:rsidRPr="00A03FE1">
        <w:rPr>
          <w:rFonts w:asciiTheme="minorHAnsi" w:hAnsiTheme="minorHAnsi" w:cstheme="minorHAnsi"/>
        </w:rPr>
        <w:t xml:space="preserve">                                                     </w:t>
      </w:r>
    </w:p>
    <w:p w14:paraId="737AED19" w14:textId="662AFC5A" w:rsidR="00E768A2" w:rsidRPr="00A03FE1" w:rsidRDefault="00E768A2" w:rsidP="00E768A2">
      <w:pPr>
        <w:rPr>
          <w:rFonts w:asciiTheme="minorHAnsi" w:hAnsiTheme="minorHAnsi" w:cstheme="minorHAnsi"/>
          <w:b/>
          <w:bCs/>
        </w:rPr>
      </w:pPr>
      <w:r w:rsidRPr="00A03FE1">
        <w:rPr>
          <w:rFonts w:asciiTheme="minorHAnsi" w:hAnsiTheme="minorHAnsi" w:cstheme="minorHAnsi"/>
          <w:b/>
          <w:bCs/>
        </w:rPr>
        <w:lastRenderedPageBreak/>
        <w:t>By signing below, you are indicating that you understand and agree to comply with all requirements set forth by the Non-discrimination and Equal Opportunity Policy.</w:t>
      </w:r>
      <w:r w:rsidR="00AE0253">
        <w:rPr>
          <w:rFonts w:asciiTheme="minorHAnsi" w:hAnsiTheme="minorHAnsi" w:cstheme="minorHAnsi"/>
          <w:b/>
          <w:bCs/>
        </w:rPr>
        <w:t xml:space="preserve"> Compliance and best practices will be reviewed and evaluated as a part of CoC monitoring, HUD monitoring</w:t>
      </w:r>
      <w:r w:rsidR="005F0AD3">
        <w:rPr>
          <w:rFonts w:asciiTheme="minorHAnsi" w:hAnsiTheme="minorHAnsi" w:cstheme="minorHAnsi"/>
          <w:b/>
          <w:bCs/>
        </w:rPr>
        <w:t>, and in response to reported incidents of non-compliance.</w:t>
      </w:r>
    </w:p>
    <w:p w14:paraId="4DE6C34E" w14:textId="77777777" w:rsidR="00E768A2" w:rsidRPr="00A03FE1" w:rsidRDefault="00E768A2" w:rsidP="00E768A2">
      <w:pPr>
        <w:rPr>
          <w:rFonts w:asciiTheme="minorHAnsi" w:hAnsiTheme="minorHAnsi" w:cstheme="minorHAnsi"/>
        </w:rPr>
      </w:pPr>
    </w:p>
    <w:p w14:paraId="57A7D8E5" w14:textId="77777777" w:rsidR="005F0AD3" w:rsidRDefault="005F0AD3" w:rsidP="00E768A2">
      <w:pPr>
        <w:rPr>
          <w:rFonts w:asciiTheme="minorHAnsi" w:hAnsiTheme="minorHAnsi" w:cstheme="minorHAnsi"/>
        </w:rPr>
      </w:pPr>
    </w:p>
    <w:p w14:paraId="3D54E10A" w14:textId="0927D1CA" w:rsidR="005F0AD3" w:rsidRDefault="005F0AD3" w:rsidP="00E768A2">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_________________________</w:t>
      </w:r>
      <w:r>
        <w:rPr>
          <w:rFonts w:asciiTheme="minorHAnsi" w:hAnsiTheme="minorHAnsi" w:cstheme="minorHAnsi"/>
        </w:rPr>
        <w:t>_______________________</w:t>
      </w:r>
      <w:r w:rsidRPr="00A03FE1">
        <w:rPr>
          <w:rFonts w:asciiTheme="minorHAnsi" w:hAnsiTheme="minorHAnsi" w:cstheme="minorHAnsi"/>
        </w:rPr>
        <w:br/>
      </w:r>
      <w:r>
        <w:rPr>
          <w:rFonts w:asciiTheme="minorHAnsi" w:hAnsiTheme="minorHAnsi" w:cstheme="minorHAnsi"/>
        </w:rPr>
        <w:t>CoC Affiliated Organization</w:t>
      </w:r>
    </w:p>
    <w:p w14:paraId="418C2EC9" w14:textId="77777777" w:rsidR="005F0AD3" w:rsidRDefault="005F0AD3" w:rsidP="00E768A2">
      <w:pPr>
        <w:rPr>
          <w:rFonts w:asciiTheme="minorHAnsi" w:hAnsiTheme="minorHAnsi" w:cstheme="minorHAnsi"/>
        </w:rPr>
      </w:pPr>
    </w:p>
    <w:p w14:paraId="28DF5E7B" w14:textId="7C4A181E" w:rsidR="00E768A2" w:rsidRPr="00A03FE1" w:rsidRDefault="00E768A2" w:rsidP="00E768A2">
      <w:pPr>
        <w:rPr>
          <w:rFonts w:asciiTheme="minorHAnsi" w:hAnsiTheme="minorHAnsi" w:cstheme="minorHAnsi"/>
        </w:rPr>
      </w:pPr>
      <w:r w:rsidRPr="00A03FE1">
        <w:rPr>
          <w:rFonts w:asciiTheme="minorHAnsi" w:hAnsiTheme="minorHAnsi" w:cstheme="minorHAnsi"/>
        </w:rPr>
        <w:t>_____________________________</w:t>
      </w:r>
      <w:r w:rsidR="00272A6B">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sidR="00272A6B">
        <w:rPr>
          <w:rFonts w:asciiTheme="minorHAnsi" w:hAnsiTheme="minorHAnsi" w:cstheme="minorHAnsi"/>
        </w:rPr>
        <w:t>CoC Affiliated Organization</w:t>
      </w:r>
      <w:r w:rsidRPr="00A03FE1">
        <w:rPr>
          <w:rFonts w:asciiTheme="minorHAnsi" w:hAnsiTheme="minorHAnsi" w:cstheme="minorHAnsi"/>
        </w:rPr>
        <w:t xml:space="preserve"> Program Director                                                              Date </w:t>
      </w:r>
    </w:p>
    <w:p w14:paraId="1C3851AE" w14:textId="77777777" w:rsidR="00E768A2" w:rsidRPr="00A03FE1" w:rsidRDefault="00E768A2" w:rsidP="00E768A2">
      <w:pPr>
        <w:rPr>
          <w:rFonts w:asciiTheme="minorHAnsi" w:hAnsiTheme="minorHAnsi" w:cstheme="minorHAnsi"/>
        </w:rPr>
      </w:pPr>
    </w:p>
    <w:p w14:paraId="6C67529D" w14:textId="33E88F8E" w:rsidR="001412D7" w:rsidRPr="00A03FE1" w:rsidRDefault="00E768A2">
      <w:pPr>
        <w:rPr>
          <w:rFonts w:asciiTheme="minorHAnsi" w:hAnsiTheme="minorHAnsi" w:cstheme="minorHAnsi"/>
        </w:rPr>
      </w:pPr>
      <w:r w:rsidRPr="00A03FE1">
        <w:rPr>
          <w:rFonts w:asciiTheme="minorHAnsi" w:hAnsiTheme="minorHAnsi" w:cstheme="minorHAnsi"/>
        </w:rPr>
        <w:t>_____________________________</w:t>
      </w:r>
      <w:r w:rsidR="00272A6B">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sidR="00272A6B">
        <w:rPr>
          <w:rFonts w:asciiTheme="minorHAnsi" w:hAnsiTheme="minorHAnsi" w:cstheme="minorHAnsi"/>
        </w:rPr>
        <w:t>CoC Affiliated Organization</w:t>
      </w:r>
      <w:r w:rsidR="00272A6B" w:rsidRPr="00A03FE1">
        <w:rPr>
          <w:rFonts w:asciiTheme="minorHAnsi" w:hAnsiTheme="minorHAnsi" w:cstheme="minorHAnsi"/>
        </w:rPr>
        <w:t xml:space="preserve"> </w:t>
      </w:r>
      <w:r w:rsidRPr="00A03FE1">
        <w:rPr>
          <w:rFonts w:asciiTheme="minorHAnsi" w:hAnsiTheme="minorHAnsi" w:cstheme="minorHAnsi"/>
        </w:rPr>
        <w:t xml:space="preserve">Executive Director                                                            Date </w:t>
      </w:r>
    </w:p>
    <w:sectPr w:rsidR="001412D7" w:rsidRPr="00A03F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1CAD1" w14:textId="77777777" w:rsidR="00344604" w:rsidRDefault="00344604" w:rsidP="00E768A2">
      <w:r>
        <w:separator/>
      </w:r>
    </w:p>
  </w:endnote>
  <w:endnote w:type="continuationSeparator" w:id="0">
    <w:p w14:paraId="2CDBC97E" w14:textId="77777777" w:rsidR="00344604" w:rsidRDefault="00344604" w:rsidP="00E768A2">
      <w:r>
        <w:continuationSeparator/>
      </w:r>
    </w:p>
  </w:endnote>
  <w:endnote w:type="continuationNotice" w:id="1">
    <w:p w14:paraId="1CF04964" w14:textId="77777777" w:rsidR="00344604" w:rsidRDefault="00344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B9C6A" w14:textId="77777777" w:rsidR="00344604" w:rsidRDefault="00344604" w:rsidP="00E768A2">
      <w:r>
        <w:separator/>
      </w:r>
    </w:p>
  </w:footnote>
  <w:footnote w:type="continuationSeparator" w:id="0">
    <w:p w14:paraId="14726C71" w14:textId="77777777" w:rsidR="00344604" w:rsidRDefault="00344604" w:rsidP="00E768A2">
      <w:r>
        <w:continuationSeparator/>
      </w:r>
    </w:p>
  </w:footnote>
  <w:footnote w:type="continuationNotice" w:id="1">
    <w:p w14:paraId="7915F519" w14:textId="77777777" w:rsidR="00344604" w:rsidRDefault="00344604"/>
  </w:footnote>
  <w:footnote w:id="2">
    <w:p w14:paraId="0ABA8F09" w14:textId="7145ACDA" w:rsidR="00E768A2" w:rsidRDefault="00E768A2" w:rsidP="00E768A2">
      <w:pPr>
        <w:pStyle w:val="FootnoteText"/>
      </w:pPr>
      <w:r>
        <w:rPr>
          <w:rStyle w:val="FootnoteReference"/>
        </w:rPr>
        <w:t>[1]</w:t>
      </w:r>
      <w:r>
        <w:t xml:space="preserve">HUD LGBT Final Rule:  </w:t>
      </w:r>
      <w:hyperlink r:id="rId1" w:history="1">
        <w:r>
          <w:rPr>
            <w:rStyle w:val="Hyperlink"/>
          </w:rPr>
          <w:t>http://portal.hud.gov/hudportal/documents/huddoc?id=12lgbtfinalrule.pdf</w:t>
        </w:r>
      </w:hyperlink>
    </w:p>
  </w:footnote>
  <w:footnote w:id="3">
    <w:p w14:paraId="4320CAB1" w14:textId="5C43DFAF" w:rsidR="00CD70F7" w:rsidRPr="003630AB" w:rsidRDefault="00E768A2" w:rsidP="00E768A2">
      <w:pPr>
        <w:pStyle w:val="FootnoteText"/>
      </w:pPr>
      <w:r>
        <w:rPr>
          <w:rStyle w:val="FootnoteReference"/>
        </w:rPr>
        <w:t>[2]</w:t>
      </w:r>
      <w:r>
        <w:t xml:space="preserve"> </w:t>
      </w:r>
      <w:hyperlink r:id="rId2" w:history="1">
        <w:r w:rsidR="00CD70F7" w:rsidRPr="00E76BD7">
          <w:rPr>
            <w:rStyle w:val="Hyperlink"/>
          </w:rPr>
          <w:t>https://www.in.gov/ihcda/files/2015-transgender-single-sex-facilities.pdf</w:t>
        </w:r>
      </w:hyperlink>
    </w:p>
  </w:footnote>
  <w:footnote w:id="4">
    <w:p w14:paraId="608BB7DD" w14:textId="77777777" w:rsidR="00E768A2" w:rsidRDefault="00E768A2" w:rsidP="00E768A2">
      <w:pPr>
        <w:pStyle w:val="FootnoteText"/>
      </w:pPr>
      <w:r>
        <w:rPr>
          <w:rStyle w:val="FootnoteReference"/>
        </w:rPr>
        <w:t>[3]</w:t>
      </w:r>
      <w:r>
        <w:t xml:space="preserve"> </w:t>
      </w:r>
      <w:hyperlink r:id="rId3" w:history="1">
        <w:r>
          <w:rPr>
            <w:rStyle w:val="Hyperlink"/>
          </w:rPr>
          <w:t>http://www.ag.ny.gov/civil-rights/fair-housing</w:t>
        </w:r>
      </w:hyperlink>
    </w:p>
  </w:footnote>
  <w:footnote w:id="5">
    <w:p w14:paraId="6B198900" w14:textId="77777777" w:rsidR="00E768A2" w:rsidRDefault="00E768A2" w:rsidP="00E768A2">
      <w:pPr>
        <w:pStyle w:val="FootnoteText"/>
      </w:pPr>
      <w:r>
        <w:rPr>
          <w:rStyle w:val="FootnoteReference"/>
        </w:rPr>
        <w:t>[4]</w:t>
      </w:r>
      <w:r>
        <w:t xml:space="preserve"> </w:t>
      </w:r>
      <w:hyperlink r:id="rId4" w:history="1">
        <w:r>
          <w:rPr>
            <w:rStyle w:val="Hyperlink"/>
          </w:rPr>
          <w:t>http://www.ag.ny.gov/civil-rights/sonda-brochure</w:t>
        </w:r>
      </w:hyperlink>
      <w:r>
        <w:t xml:space="preserve"> </w:t>
      </w:r>
    </w:p>
  </w:footnote>
  <w:footnote w:id="6">
    <w:p w14:paraId="4DA9BE88" w14:textId="77777777" w:rsidR="00E768A2" w:rsidRDefault="00E768A2" w:rsidP="00E768A2">
      <w:pPr>
        <w:pStyle w:val="FootnoteText"/>
        <w:rPr>
          <w:rStyle w:val="Hyperlink"/>
        </w:rPr>
      </w:pPr>
      <w:r>
        <w:rPr>
          <w:rStyle w:val="FootnoteReference"/>
        </w:rPr>
        <w:t>[5]</w:t>
      </w:r>
      <w:r>
        <w:t xml:space="preserve"> </w:t>
      </w:r>
      <w:hyperlink r:id="rId5" w:history="1">
        <w:r>
          <w:rPr>
            <w:rStyle w:val="Hyperlink"/>
          </w:rPr>
          <w:t>https://www.ada.gov/effective-comm.htm</w:t>
        </w:r>
      </w:hyperlink>
    </w:p>
    <w:p w14:paraId="03FF593A" w14:textId="77777777" w:rsidR="00E768A2" w:rsidRDefault="00E768A2" w:rsidP="00E768A2">
      <w:pPr>
        <w:pStyle w:val="FootnoteText"/>
        <w:rPr>
          <w:rStyle w:val="Hyperlink"/>
        </w:rPr>
      </w:pPr>
    </w:p>
    <w:p w14:paraId="760EB62C" w14:textId="77777777" w:rsidR="00E768A2" w:rsidRDefault="00E768A2" w:rsidP="00E768A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120C"/>
    <w:multiLevelType w:val="hybridMultilevel"/>
    <w:tmpl w:val="0454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0709"/>
    <w:multiLevelType w:val="hybridMultilevel"/>
    <w:tmpl w:val="4D64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D47F2"/>
    <w:multiLevelType w:val="hybridMultilevel"/>
    <w:tmpl w:val="A2449A60"/>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F00D5"/>
    <w:multiLevelType w:val="hybridMultilevel"/>
    <w:tmpl w:val="AFE0C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D927A9"/>
    <w:multiLevelType w:val="hybridMultilevel"/>
    <w:tmpl w:val="8E1E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BF6384"/>
    <w:multiLevelType w:val="hybridMultilevel"/>
    <w:tmpl w:val="11A09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2265D"/>
    <w:multiLevelType w:val="hybridMultilevel"/>
    <w:tmpl w:val="09C2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A3F10"/>
    <w:multiLevelType w:val="hybridMultilevel"/>
    <w:tmpl w:val="00C4B630"/>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752B26"/>
    <w:multiLevelType w:val="hybridMultilevel"/>
    <w:tmpl w:val="2A7E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E604D9"/>
    <w:multiLevelType w:val="hybridMultilevel"/>
    <w:tmpl w:val="2F8C59B4"/>
    <w:lvl w:ilvl="0" w:tplc="CBD65D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1363">
    <w:abstractNumId w:val="5"/>
  </w:num>
  <w:num w:numId="2" w16cid:durableId="258493057">
    <w:abstractNumId w:val="8"/>
  </w:num>
  <w:num w:numId="3" w16cid:durableId="1807352763">
    <w:abstractNumId w:val="4"/>
  </w:num>
  <w:num w:numId="4" w16cid:durableId="1618681443">
    <w:abstractNumId w:val="9"/>
  </w:num>
  <w:num w:numId="5" w16cid:durableId="575676628">
    <w:abstractNumId w:val="2"/>
  </w:num>
  <w:num w:numId="6" w16cid:durableId="543636575">
    <w:abstractNumId w:val="7"/>
  </w:num>
  <w:num w:numId="7" w16cid:durableId="273749372">
    <w:abstractNumId w:val="3"/>
  </w:num>
  <w:num w:numId="8" w16cid:durableId="1293748991">
    <w:abstractNumId w:val="1"/>
  </w:num>
  <w:num w:numId="9" w16cid:durableId="934484224">
    <w:abstractNumId w:val="6"/>
  </w:num>
  <w:num w:numId="10" w16cid:durableId="100185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A2"/>
    <w:rsid w:val="00023581"/>
    <w:rsid w:val="00052A13"/>
    <w:rsid w:val="0005707E"/>
    <w:rsid w:val="00057E2A"/>
    <w:rsid w:val="000879EC"/>
    <w:rsid w:val="000B3585"/>
    <w:rsid w:val="000B57C7"/>
    <w:rsid w:val="000B7643"/>
    <w:rsid w:val="000F0B45"/>
    <w:rsid w:val="00101745"/>
    <w:rsid w:val="00106553"/>
    <w:rsid w:val="00114269"/>
    <w:rsid w:val="00126944"/>
    <w:rsid w:val="001274B2"/>
    <w:rsid w:val="001412D7"/>
    <w:rsid w:val="001516BD"/>
    <w:rsid w:val="00157681"/>
    <w:rsid w:val="00171319"/>
    <w:rsid w:val="00175494"/>
    <w:rsid w:val="00187E6A"/>
    <w:rsid w:val="0019094D"/>
    <w:rsid w:val="001A413A"/>
    <w:rsid w:val="001A44E9"/>
    <w:rsid w:val="0020536F"/>
    <w:rsid w:val="00207863"/>
    <w:rsid w:val="00211D58"/>
    <w:rsid w:val="00222F7E"/>
    <w:rsid w:val="0022516A"/>
    <w:rsid w:val="0022767A"/>
    <w:rsid w:val="00234D8A"/>
    <w:rsid w:val="00247119"/>
    <w:rsid w:val="00272A6B"/>
    <w:rsid w:val="0027599F"/>
    <w:rsid w:val="002764B3"/>
    <w:rsid w:val="0029314A"/>
    <w:rsid w:val="002B682F"/>
    <w:rsid w:val="002E1BA6"/>
    <w:rsid w:val="002E4143"/>
    <w:rsid w:val="002E4550"/>
    <w:rsid w:val="00317B87"/>
    <w:rsid w:val="00344604"/>
    <w:rsid w:val="0035266E"/>
    <w:rsid w:val="003630AB"/>
    <w:rsid w:val="003C562C"/>
    <w:rsid w:val="003C7CBA"/>
    <w:rsid w:val="003D6646"/>
    <w:rsid w:val="00406475"/>
    <w:rsid w:val="00407A79"/>
    <w:rsid w:val="00427F0F"/>
    <w:rsid w:val="0047270D"/>
    <w:rsid w:val="004747D3"/>
    <w:rsid w:val="004A1503"/>
    <w:rsid w:val="004D6166"/>
    <w:rsid w:val="004E4B8B"/>
    <w:rsid w:val="004F049C"/>
    <w:rsid w:val="0050626E"/>
    <w:rsid w:val="005274EC"/>
    <w:rsid w:val="00527F0D"/>
    <w:rsid w:val="005628CE"/>
    <w:rsid w:val="0056685C"/>
    <w:rsid w:val="00575ED0"/>
    <w:rsid w:val="00581C9B"/>
    <w:rsid w:val="00593FD2"/>
    <w:rsid w:val="005A76A7"/>
    <w:rsid w:val="005F0AD3"/>
    <w:rsid w:val="00620C38"/>
    <w:rsid w:val="00691D0B"/>
    <w:rsid w:val="006A39DD"/>
    <w:rsid w:val="006D2C82"/>
    <w:rsid w:val="006E2129"/>
    <w:rsid w:val="007124ED"/>
    <w:rsid w:val="00721181"/>
    <w:rsid w:val="00765071"/>
    <w:rsid w:val="00792F32"/>
    <w:rsid w:val="007A6A17"/>
    <w:rsid w:val="007C1673"/>
    <w:rsid w:val="007F1CEA"/>
    <w:rsid w:val="007F5B7E"/>
    <w:rsid w:val="007F7F04"/>
    <w:rsid w:val="0081778B"/>
    <w:rsid w:val="008229D7"/>
    <w:rsid w:val="00864743"/>
    <w:rsid w:val="00880D05"/>
    <w:rsid w:val="008A25EA"/>
    <w:rsid w:val="008A5220"/>
    <w:rsid w:val="008E6C80"/>
    <w:rsid w:val="008E708C"/>
    <w:rsid w:val="008F6ADF"/>
    <w:rsid w:val="00921867"/>
    <w:rsid w:val="00923BA7"/>
    <w:rsid w:val="00927254"/>
    <w:rsid w:val="009313DA"/>
    <w:rsid w:val="00953177"/>
    <w:rsid w:val="009A6251"/>
    <w:rsid w:val="009F0BB7"/>
    <w:rsid w:val="00A01CC8"/>
    <w:rsid w:val="00A03FE1"/>
    <w:rsid w:val="00A60771"/>
    <w:rsid w:val="00A65A7D"/>
    <w:rsid w:val="00A70124"/>
    <w:rsid w:val="00AC4B7E"/>
    <w:rsid w:val="00AD21AF"/>
    <w:rsid w:val="00AE0253"/>
    <w:rsid w:val="00AF2BC8"/>
    <w:rsid w:val="00AF3A27"/>
    <w:rsid w:val="00AF4A14"/>
    <w:rsid w:val="00B102C2"/>
    <w:rsid w:val="00B23E85"/>
    <w:rsid w:val="00B7600D"/>
    <w:rsid w:val="00BA7329"/>
    <w:rsid w:val="00C2355F"/>
    <w:rsid w:val="00C42B0C"/>
    <w:rsid w:val="00C56B25"/>
    <w:rsid w:val="00C93B84"/>
    <w:rsid w:val="00CA19ED"/>
    <w:rsid w:val="00CC668B"/>
    <w:rsid w:val="00CD04E9"/>
    <w:rsid w:val="00CD53F5"/>
    <w:rsid w:val="00CD70F7"/>
    <w:rsid w:val="00CE3019"/>
    <w:rsid w:val="00CF399D"/>
    <w:rsid w:val="00D02FEB"/>
    <w:rsid w:val="00D1020A"/>
    <w:rsid w:val="00D32498"/>
    <w:rsid w:val="00D52874"/>
    <w:rsid w:val="00D6624C"/>
    <w:rsid w:val="00DA2487"/>
    <w:rsid w:val="00DB3826"/>
    <w:rsid w:val="00DD1F61"/>
    <w:rsid w:val="00DD7150"/>
    <w:rsid w:val="00DF11C6"/>
    <w:rsid w:val="00E04A87"/>
    <w:rsid w:val="00E10BA0"/>
    <w:rsid w:val="00E16F8B"/>
    <w:rsid w:val="00E768A2"/>
    <w:rsid w:val="00E9356F"/>
    <w:rsid w:val="00EA2C0A"/>
    <w:rsid w:val="00EA4F68"/>
    <w:rsid w:val="00ED0F47"/>
    <w:rsid w:val="00ED7BB4"/>
    <w:rsid w:val="00EE37CB"/>
    <w:rsid w:val="00F03DE9"/>
    <w:rsid w:val="00F31DB7"/>
    <w:rsid w:val="00F45B46"/>
    <w:rsid w:val="00F65151"/>
    <w:rsid w:val="00F7727A"/>
    <w:rsid w:val="00F8507D"/>
    <w:rsid w:val="00F87E69"/>
    <w:rsid w:val="00F93FA0"/>
    <w:rsid w:val="00F95353"/>
    <w:rsid w:val="00FA5D7F"/>
    <w:rsid w:val="00FB1589"/>
    <w:rsid w:val="00FD19D1"/>
    <w:rsid w:val="00FD2D7B"/>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F2F1"/>
  <w15:chartTrackingRefBased/>
  <w15:docId w15:val="{DA8CD208-93EE-42CB-BA3E-15462D40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A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8A2"/>
    <w:rPr>
      <w:color w:val="0563C1"/>
      <w:u w:val="single"/>
    </w:rPr>
  </w:style>
  <w:style w:type="paragraph" w:styleId="FootnoteText">
    <w:name w:val="footnote text"/>
    <w:basedOn w:val="Normal"/>
    <w:link w:val="FootnoteTextChar"/>
    <w:uiPriority w:val="99"/>
    <w:semiHidden/>
    <w:unhideWhenUsed/>
    <w:rsid w:val="00E768A2"/>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68A2"/>
    <w:rPr>
      <w:rFonts w:ascii="Times New Roman" w:hAnsi="Times New Roman" w:cs="Times New Roman"/>
      <w:sz w:val="20"/>
      <w:szCs w:val="20"/>
    </w:rPr>
  </w:style>
  <w:style w:type="paragraph" w:styleId="ListParagraph">
    <w:name w:val="List Paragraph"/>
    <w:basedOn w:val="Normal"/>
    <w:uiPriority w:val="34"/>
    <w:qFormat/>
    <w:rsid w:val="00E768A2"/>
    <w:pPr>
      <w:ind w:left="720"/>
    </w:pPr>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768A2"/>
    <w:rPr>
      <w:vertAlign w:val="superscript"/>
    </w:rPr>
  </w:style>
  <w:style w:type="character" w:styleId="CommentReference">
    <w:name w:val="annotation reference"/>
    <w:basedOn w:val="DefaultParagraphFont"/>
    <w:uiPriority w:val="99"/>
    <w:semiHidden/>
    <w:unhideWhenUsed/>
    <w:rsid w:val="00AD21AF"/>
    <w:rPr>
      <w:sz w:val="16"/>
      <w:szCs w:val="16"/>
    </w:rPr>
  </w:style>
  <w:style w:type="paragraph" w:styleId="CommentText">
    <w:name w:val="annotation text"/>
    <w:basedOn w:val="Normal"/>
    <w:link w:val="CommentTextChar"/>
    <w:uiPriority w:val="99"/>
    <w:unhideWhenUsed/>
    <w:rsid w:val="00AD21AF"/>
    <w:rPr>
      <w:sz w:val="20"/>
      <w:szCs w:val="20"/>
    </w:rPr>
  </w:style>
  <w:style w:type="character" w:customStyle="1" w:styleId="CommentTextChar">
    <w:name w:val="Comment Text Char"/>
    <w:basedOn w:val="DefaultParagraphFont"/>
    <w:link w:val="CommentText"/>
    <w:uiPriority w:val="99"/>
    <w:rsid w:val="00AD21A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D21AF"/>
    <w:rPr>
      <w:b/>
      <w:bCs/>
    </w:rPr>
  </w:style>
  <w:style w:type="character" w:customStyle="1" w:styleId="CommentSubjectChar">
    <w:name w:val="Comment Subject Char"/>
    <w:basedOn w:val="CommentTextChar"/>
    <w:link w:val="CommentSubject"/>
    <w:uiPriority w:val="99"/>
    <w:semiHidden/>
    <w:rsid w:val="00AD21AF"/>
    <w:rPr>
      <w:rFonts w:ascii="Calibri" w:hAnsi="Calibri" w:cs="Calibri"/>
      <w:b/>
      <w:bCs/>
      <w:sz w:val="20"/>
      <w:szCs w:val="20"/>
    </w:rPr>
  </w:style>
  <w:style w:type="paragraph" w:styleId="Header">
    <w:name w:val="header"/>
    <w:basedOn w:val="Normal"/>
    <w:link w:val="HeaderChar"/>
    <w:uiPriority w:val="99"/>
    <w:semiHidden/>
    <w:unhideWhenUsed/>
    <w:rsid w:val="00211D58"/>
    <w:pPr>
      <w:tabs>
        <w:tab w:val="center" w:pos="4680"/>
        <w:tab w:val="right" w:pos="9360"/>
      </w:tabs>
    </w:pPr>
  </w:style>
  <w:style w:type="character" w:customStyle="1" w:styleId="HeaderChar">
    <w:name w:val="Header Char"/>
    <w:basedOn w:val="DefaultParagraphFont"/>
    <w:link w:val="Header"/>
    <w:uiPriority w:val="99"/>
    <w:semiHidden/>
    <w:rsid w:val="00211D58"/>
    <w:rPr>
      <w:rFonts w:ascii="Calibri" w:hAnsi="Calibri" w:cs="Calibri"/>
    </w:rPr>
  </w:style>
  <w:style w:type="paragraph" w:styleId="Footer">
    <w:name w:val="footer"/>
    <w:basedOn w:val="Normal"/>
    <w:link w:val="FooterChar"/>
    <w:uiPriority w:val="99"/>
    <w:semiHidden/>
    <w:unhideWhenUsed/>
    <w:rsid w:val="00211D58"/>
    <w:pPr>
      <w:tabs>
        <w:tab w:val="center" w:pos="4680"/>
        <w:tab w:val="right" w:pos="9360"/>
      </w:tabs>
    </w:pPr>
  </w:style>
  <w:style w:type="character" w:customStyle="1" w:styleId="FooterChar">
    <w:name w:val="Footer Char"/>
    <w:basedOn w:val="DefaultParagraphFont"/>
    <w:link w:val="Footer"/>
    <w:uiPriority w:val="99"/>
    <w:semiHidden/>
    <w:rsid w:val="00211D58"/>
    <w:rPr>
      <w:rFonts w:ascii="Calibri" w:hAnsi="Calibri" w:cs="Calibri"/>
    </w:rPr>
  </w:style>
  <w:style w:type="paragraph" w:styleId="Revision">
    <w:name w:val="Revision"/>
    <w:hidden/>
    <w:uiPriority w:val="99"/>
    <w:semiHidden/>
    <w:rsid w:val="00F87E69"/>
    <w:pPr>
      <w:spacing w:after="0" w:line="240" w:lineRule="auto"/>
    </w:pPr>
    <w:rPr>
      <w:rFonts w:ascii="Calibri" w:hAnsi="Calibri" w:cs="Calibri"/>
    </w:rPr>
  </w:style>
  <w:style w:type="character" w:customStyle="1" w:styleId="cf01">
    <w:name w:val="cf01"/>
    <w:basedOn w:val="DefaultParagraphFont"/>
    <w:rsid w:val="00CD04E9"/>
    <w:rPr>
      <w:rFonts w:ascii="Segoe UI" w:hAnsi="Segoe UI" w:cs="Segoe UI" w:hint="default"/>
      <w:sz w:val="18"/>
      <w:szCs w:val="18"/>
    </w:rPr>
  </w:style>
  <w:style w:type="character" w:styleId="FollowedHyperlink">
    <w:name w:val="FollowedHyperlink"/>
    <w:basedOn w:val="DefaultParagraphFont"/>
    <w:uiPriority w:val="99"/>
    <w:semiHidden/>
    <w:unhideWhenUsed/>
    <w:rsid w:val="00DF11C6"/>
    <w:rPr>
      <w:color w:val="954F72" w:themeColor="followedHyperlink"/>
      <w:u w:val="single"/>
    </w:rPr>
  </w:style>
  <w:style w:type="character" w:styleId="UnresolvedMention">
    <w:name w:val="Unresolved Mention"/>
    <w:basedOn w:val="DefaultParagraphFont"/>
    <w:uiPriority w:val="99"/>
    <w:semiHidden/>
    <w:unhideWhenUsed/>
    <w:rsid w:val="00CD70F7"/>
    <w:rPr>
      <w:color w:val="605E5C"/>
      <w:shd w:val="clear" w:color="auto" w:fill="E1DFDD"/>
    </w:rPr>
  </w:style>
  <w:style w:type="character" w:styleId="Strong">
    <w:name w:val="Strong"/>
    <w:basedOn w:val="DefaultParagraphFont"/>
    <w:uiPriority w:val="22"/>
    <w:qFormat/>
    <w:rsid w:val="00171319"/>
    <w:rPr>
      <w:b/>
      <w:bCs/>
    </w:rPr>
  </w:style>
  <w:style w:type="paragraph" w:customStyle="1" w:styleId="font8">
    <w:name w:val="font_8"/>
    <w:basedOn w:val="Normal"/>
    <w:rsid w:val="007A6A17"/>
    <w:pPr>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DefaultParagraphFont"/>
    <w:rsid w:val="007A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23000">
      <w:bodyDiv w:val="1"/>
      <w:marLeft w:val="0"/>
      <w:marRight w:val="0"/>
      <w:marTop w:val="0"/>
      <w:marBottom w:val="0"/>
      <w:divBdr>
        <w:top w:val="none" w:sz="0" w:space="0" w:color="auto"/>
        <w:left w:val="none" w:sz="0" w:space="0" w:color="auto"/>
        <w:bottom w:val="none" w:sz="0" w:space="0" w:color="auto"/>
        <w:right w:val="none" w:sz="0" w:space="0" w:color="auto"/>
      </w:divBdr>
    </w:div>
    <w:div w:id="17907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 TargetMode="External"/><Relationship Id="rId18" Type="http://schemas.openxmlformats.org/officeDocument/2006/relationships/hyperlink" Target="mailto:info@lifairhousing.org" TargetMode="External"/><Relationship Id="rId3" Type="http://schemas.openxmlformats.org/officeDocument/2006/relationships/customXml" Target="../customXml/item3.xml"/><Relationship Id="rId21" Type="http://schemas.openxmlformats.org/officeDocument/2006/relationships/hyperlink" Target="https://www.eraseracismny.org/" TargetMode="External"/><Relationship Id="rId7" Type="http://schemas.openxmlformats.org/officeDocument/2006/relationships/webSettings" Target="webSettings.xml"/><Relationship Id="rId12" Type="http://schemas.openxmlformats.org/officeDocument/2006/relationships/hyperlink" Target="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 TargetMode="External"/><Relationship Id="rId17" Type="http://schemas.openxmlformats.org/officeDocument/2006/relationships/hyperlink" Target="tel:631-567-5111-312" TargetMode="External"/><Relationship Id="rId2" Type="http://schemas.openxmlformats.org/officeDocument/2006/relationships/customXml" Target="../customXml/item2.xml"/><Relationship Id="rId16" Type="http://schemas.openxmlformats.org/officeDocument/2006/relationships/hyperlink" Target="mailto:humanrights@suffolkcountyny.gov" TargetMode="External"/><Relationship Id="rId20" Type="http://schemas.openxmlformats.org/officeDocument/2006/relationships/hyperlink" Target="https://www.lihomeless.org/coc-policies-stand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l.rights@ag.ny.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tel:%E2%80%8B631-853-5480" TargetMode="External"/><Relationship Id="rId23" Type="http://schemas.openxmlformats.org/officeDocument/2006/relationships/fontTable" Target="fontTable.xml"/><Relationship Id="rId10" Type="http://schemas.openxmlformats.org/officeDocument/2006/relationships/hyperlink" Target="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 TargetMode="External"/><Relationship Id="rId19" Type="http://schemas.openxmlformats.org/officeDocument/2006/relationships/hyperlink" Target="https://www.lifairhous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ssaucountyny.gov/414/Human-Rights-Commission" TargetMode="External"/><Relationship Id="rId22" Type="http://schemas.openxmlformats.org/officeDocument/2006/relationships/hyperlink" Target="https://www.lifairhousing.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 TargetMode="External"/><Relationship Id="rId2" Type="http://schemas.openxmlformats.org/officeDocument/2006/relationships/hyperlink" Target="https://www.in.gov/ihcda/files/2015-transgender-single-sex-facilities.pdf" TargetMode="External"/><Relationship Id="rId1" Type="http://schemas.openxmlformats.org/officeDocument/2006/relationships/hyperlink" Target="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 TargetMode="External"/><Relationship Id="rId5" Type="http://schemas.openxmlformats.org/officeDocument/2006/relationships/hyperlink" Target="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 TargetMode="External"/><Relationship Id="rId4" Type="http://schemas.openxmlformats.org/officeDocument/2006/relationships/hyperlink" Target="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5F8B5-BDA4-417E-945E-9B8688D7EB9B}">
  <ds:schemaRefs>
    <ds:schemaRef ds:uri="http://schemas.microsoft.com/office/2006/metadata/properties"/>
    <ds:schemaRef ds:uri="http://schemas.microsoft.com/office/infopath/2007/PartnerControls"/>
    <ds:schemaRef ds:uri="a2d4b7a3-f851-41e8-99d5-1619c4311944"/>
    <ds:schemaRef ds:uri="0c408069-27ef-456c-b32e-53750250f17c"/>
  </ds:schemaRefs>
</ds:datastoreItem>
</file>

<file path=customXml/itemProps2.xml><?xml version="1.0" encoding="utf-8"?>
<ds:datastoreItem xmlns:ds="http://schemas.openxmlformats.org/officeDocument/2006/customXml" ds:itemID="{778B012C-7D97-47B8-9097-706B22246678}">
  <ds:schemaRefs>
    <ds:schemaRef ds:uri="http://schemas.microsoft.com/sharepoint/v3/contenttype/forms"/>
  </ds:schemaRefs>
</ds:datastoreItem>
</file>

<file path=customXml/itemProps3.xml><?xml version="1.0" encoding="utf-8"?>
<ds:datastoreItem xmlns:ds="http://schemas.openxmlformats.org/officeDocument/2006/customXml" ds:itemID="{A6F322CD-B3F0-40D2-BDBA-79ADAA6A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Links>
    <vt:vector size="54" baseType="variant">
      <vt:variant>
        <vt:i4>2555965</vt:i4>
      </vt:variant>
      <vt:variant>
        <vt:i4>9</vt:i4>
      </vt:variant>
      <vt:variant>
        <vt:i4>0</vt:i4>
      </vt:variant>
      <vt:variant>
        <vt:i4>5</vt:i4>
      </vt:variant>
      <vt:variant>
        <vt:lpwstr>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vt:lpwstr>
      </vt:variant>
      <vt:variant>
        <vt:lpwstr/>
      </vt:variant>
      <vt:variant>
        <vt:i4>3211369</vt:i4>
      </vt:variant>
      <vt:variant>
        <vt:i4>6</vt:i4>
      </vt:variant>
      <vt:variant>
        <vt:i4>0</vt:i4>
      </vt:variant>
      <vt:variant>
        <vt:i4>5</vt:i4>
      </vt:variant>
      <vt:variant>
        <vt:lpwstr>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vt:lpwstr>
      </vt:variant>
      <vt:variant>
        <vt:lpwstr/>
      </vt:variant>
      <vt:variant>
        <vt:i4>7471175</vt:i4>
      </vt:variant>
      <vt:variant>
        <vt:i4>3</vt:i4>
      </vt:variant>
      <vt:variant>
        <vt:i4>0</vt:i4>
      </vt:variant>
      <vt:variant>
        <vt:i4>5</vt:i4>
      </vt:variant>
      <vt:variant>
        <vt:lpwstr>mailto:civil.rights@ag.ny.gov</vt:lpwstr>
      </vt:variant>
      <vt:variant>
        <vt:lpwstr/>
      </vt:variant>
      <vt:variant>
        <vt:i4>851982</vt:i4>
      </vt:variant>
      <vt:variant>
        <vt:i4>0</vt:i4>
      </vt:variant>
      <vt:variant>
        <vt:i4>0</vt:i4>
      </vt:variant>
      <vt:variant>
        <vt:i4>5</vt:i4>
      </vt:variant>
      <vt:variant>
        <vt:lpwstr>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vt:lpwstr>
      </vt:variant>
      <vt:variant>
        <vt:lpwstr/>
      </vt:variant>
      <vt:variant>
        <vt:i4>8323191</vt:i4>
      </vt:variant>
      <vt:variant>
        <vt:i4>12</vt:i4>
      </vt:variant>
      <vt:variant>
        <vt:i4>0</vt:i4>
      </vt:variant>
      <vt:variant>
        <vt:i4>5</vt:i4>
      </vt:variant>
      <vt:variant>
        <vt:lpwstr>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vt:lpwstr>
      </vt:variant>
      <vt:variant>
        <vt:lpwstr/>
      </vt:variant>
      <vt:variant>
        <vt:i4>7340153</vt:i4>
      </vt:variant>
      <vt:variant>
        <vt:i4>9</vt:i4>
      </vt:variant>
      <vt:variant>
        <vt:i4>0</vt:i4>
      </vt:variant>
      <vt:variant>
        <vt:i4>5</vt:i4>
      </vt:variant>
      <vt:variant>
        <vt:lpwstr>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vt:lpwstr>
      </vt:variant>
      <vt:variant>
        <vt:lpwstr/>
      </vt:variant>
      <vt:variant>
        <vt:i4>6488176</vt:i4>
      </vt:variant>
      <vt:variant>
        <vt:i4>6</vt:i4>
      </vt:variant>
      <vt:variant>
        <vt:i4>0</vt:i4>
      </vt:variant>
      <vt:variant>
        <vt:i4>5</vt:i4>
      </vt:variant>
      <vt:variant>
        <vt:lpwstr>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vt:lpwstr>
      </vt:variant>
      <vt:variant>
        <vt:lpwstr/>
      </vt:variant>
      <vt:variant>
        <vt:i4>8257582</vt:i4>
      </vt:variant>
      <vt:variant>
        <vt:i4>3</vt:i4>
      </vt:variant>
      <vt:variant>
        <vt:i4>0</vt:i4>
      </vt:variant>
      <vt:variant>
        <vt:i4>5</vt:i4>
      </vt:variant>
      <vt:variant>
        <vt:lpwstr>https://nam12.safelinks.protection.outlook.com/?url=https%3A%2F%2Fwww.hudexchange.info%2Fresources%2Fdocuments%2FNotice-CPD-15-02-Appropriate-Placement-for-Transgender-Persons-in-Single-Sex-Emergency-Shelters-and-Other-Facilities.pdf&amp;data=05%7C01%7Calicata%40addressthehomeless.org%7Cdc935f566b4f4c3ec93e08da92a27eaf%7Cf51f2c5ee8a74a2e83b60dcd7fc3081f%7C0%7C0%7C637983523846003241%7CUnknown%7CTWFpbGZsb3d8eyJWIjoiMC4wLjAwMDAiLCJQIjoiV2luMzIiLCJBTiI6Ik1haWwiLCJXVCI6Mn0%3D%7C3000%7C%7C%7C&amp;sdata=8Gl2yhTLkA%2F%2FKraiLaFKDttuu3SfuYUJiuiPVhAjLpc%3D&amp;reserved=0</vt:lpwstr>
      </vt:variant>
      <vt:variant>
        <vt:lpwstr/>
      </vt:variant>
      <vt:variant>
        <vt:i4>2883702</vt:i4>
      </vt:variant>
      <vt:variant>
        <vt:i4>0</vt:i4>
      </vt:variant>
      <vt:variant>
        <vt:i4>0</vt:i4>
      </vt:variant>
      <vt:variant>
        <vt:i4>5</vt:i4>
      </vt:variant>
      <vt:variant>
        <vt:lpwstr>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Garrett</dc:creator>
  <cp:keywords/>
  <dc:description/>
  <cp:lastModifiedBy>Mike Giuffrida</cp:lastModifiedBy>
  <cp:revision>3</cp:revision>
  <dcterms:created xsi:type="dcterms:W3CDTF">2024-08-13T17:02:00Z</dcterms:created>
  <dcterms:modified xsi:type="dcterms:W3CDTF">2024-08-13T17:03:00Z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